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olor w:val="000000" w:themeColor="text1"/>
          <w:sz w:val="52"/>
          <w:szCs w:val="52"/>
          <w:highlight w:val="none"/>
          <w14:textFill>
            <w14:solidFill>
              <w14:schemeClr w14:val="tx1"/>
            </w14:solidFill>
          </w14:textFill>
        </w:rPr>
      </w:pPr>
    </w:p>
    <w:p>
      <w:pPr>
        <w:rPr>
          <w:rFonts w:ascii="宋体"/>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b/>
          <w:bCs/>
          <w:color w:val="000000" w:themeColor="text1"/>
          <w:kern w:val="44"/>
          <w:sz w:val="52"/>
          <w:szCs w:val="52"/>
          <w:highlight w:val="none"/>
          <w14:textFill>
            <w14:solidFill>
              <w14:schemeClr w14:val="tx1"/>
            </w14:solidFill>
          </w14:textFill>
        </w:rPr>
      </w:pPr>
      <w:r>
        <w:rPr>
          <w:rFonts w:hint="eastAsia" w:ascii="黑体" w:hAnsi="黑体" w:eastAsia="黑体"/>
          <w:b/>
          <w:bCs/>
          <w:color w:val="000000" w:themeColor="text1"/>
          <w:kern w:val="44"/>
          <w:sz w:val="52"/>
          <w:szCs w:val="52"/>
          <w:highlight w:val="none"/>
          <w:lang w:val="en-US" w:eastAsia="zh-CN"/>
          <w14:textFill>
            <w14:solidFill>
              <w14:schemeClr w14:val="tx1"/>
            </w14:solidFill>
          </w14:textFill>
        </w:rPr>
        <w:t>桦南县</w:t>
      </w:r>
      <w:r>
        <w:rPr>
          <w:rFonts w:hint="eastAsia" w:ascii="黑体" w:hAnsi="黑体" w:eastAsia="黑体"/>
          <w:b/>
          <w:bCs/>
          <w:color w:val="000000" w:themeColor="text1"/>
          <w:kern w:val="44"/>
          <w:sz w:val="52"/>
          <w:szCs w:val="52"/>
          <w:highlight w:val="none"/>
          <w14:textFill>
            <w14:solidFill>
              <w14:schemeClr w14:val="tx1"/>
            </w14:solidFill>
          </w14:textFill>
        </w:rPr>
        <w:t>国土空间总体规划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color w:val="000000" w:themeColor="text1"/>
          <w:kern w:val="44"/>
          <w:sz w:val="48"/>
          <w:szCs w:val="44"/>
          <w:highlight w:val="none"/>
          <w14:textFill>
            <w14:solidFill>
              <w14:schemeClr w14:val="tx1"/>
            </w14:solidFill>
          </w14:textFill>
        </w:rPr>
      </w:pPr>
      <w:r>
        <w:rPr>
          <w:rFonts w:hint="eastAsia" w:ascii="黑体" w:hAnsi="黑体" w:eastAsia="黑体"/>
          <w:b/>
          <w:bCs/>
          <w:color w:val="000000" w:themeColor="text1"/>
          <w:kern w:val="44"/>
          <w:sz w:val="48"/>
          <w:szCs w:val="44"/>
          <w:highlight w:val="none"/>
          <w14:textFill>
            <w14:solidFill>
              <w14:schemeClr w14:val="tx1"/>
            </w14:solidFill>
          </w14:textFill>
        </w:rPr>
        <w:t>（20</w:t>
      </w:r>
      <w:r>
        <w:rPr>
          <w:rFonts w:ascii="黑体" w:hAnsi="黑体" w:eastAsia="黑体"/>
          <w:b/>
          <w:bCs/>
          <w:color w:val="000000" w:themeColor="text1"/>
          <w:kern w:val="44"/>
          <w:sz w:val="48"/>
          <w:szCs w:val="44"/>
          <w:highlight w:val="none"/>
          <w14:textFill>
            <w14:solidFill>
              <w14:schemeClr w14:val="tx1"/>
            </w14:solidFill>
          </w14:textFill>
        </w:rPr>
        <w:t>21</w:t>
      </w:r>
      <w:r>
        <w:rPr>
          <w:rFonts w:hint="eastAsia" w:ascii="黑体" w:hAnsi="黑体" w:eastAsia="黑体"/>
          <w:b/>
          <w:bCs/>
          <w:color w:val="000000" w:themeColor="text1"/>
          <w:kern w:val="44"/>
          <w:sz w:val="48"/>
          <w:szCs w:val="44"/>
          <w:highlight w:val="none"/>
          <w14:textFill>
            <w14:solidFill>
              <w14:schemeClr w14:val="tx1"/>
            </w14:solidFill>
          </w14:textFill>
        </w:rPr>
        <w:t>-2035年）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color w:val="000000" w:themeColor="text1"/>
          <w:kern w:val="44"/>
          <w:sz w:val="48"/>
          <w:szCs w:val="44"/>
          <w:highlight w:val="none"/>
          <w14:textFill>
            <w14:solidFill>
              <w14:schemeClr w14:val="tx1"/>
            </w14:solidFill>
          </w14:textFill>
        </w:rPr>
      </w:pPr>
      <w:r>
        <w:rPr>
          <w:rFonts w:hint="eastAsia" w:ascii="黑体" w:hAnsi="黑体" w:eastAsia="黑体"/>
          <w:b/>
          <w:bCs/>
          <w:color w:val="000000" w:themeColor="text1"/>
          <w:kern w:val="44"/>
          <w:sz w:val="48"/>
          <w:szCs w:val="44"/>
          <w:highlight w:val="none"/>
          <w14:textFill>
            <w14:solidFill>
              <w14:schemeClr w14:val="tx1"/>
            </w14:solidFill>
          </w14:textFill>
        </w:rPr>
        <w:t>（</w:t>
      </w:r>
      <w:r>
        <w:rPr>
          <w:rFonts w:hint="eastAsia" w:ascii="黑体" w:hAnsi="黑体" w:eastAsia="黑体"/>
          <w:b/>
          <w:bCs/>
          <w:color w:val="000000" w:themeColor="text1"/>
          <w:kern w:val="44"/>
          <w:sz w:val="48"/>
          <w:szCs w:val="44"/>
          <w:highlight w:val="none"/>
          <w:lang w:val="en-US" w:eastAsia="zh-CN"/>
          <w14:textFill>
            <w14:solidFill>
              <w14:schemeClr w14:val="tx1"/>
            </w14:solidFill>
          </w14:textFill>
        </w:rPr>
        <w:t>阶段稿</w:t>
      </w:r>
      <w:r>
        <w:rPr>
          <w:rFonts w:hint="eastAsia" w:ascii="黑体" w:hAnsi="黑体" w:eastAsia="黑体"/>
          <w:b/>
          <w:bCs/>
          <w:color w:val="000000" w:themeColor="text1"/>
          <w:kern w:val="44"/>
          <w:sz w:val="48"/>
          <w:szCs w:val="44"/>
          <w:highlight w:val="none"/>
          <w14:textFill>
            <w14:solidFill>
              <w14:schemeClr w14:val="tx1"/>
            </w14:solidFill>
          </w14:textFill>
        </w:rPr>
        <w:t>）</w:t>
      </w:r>
    </w:p>
    <w:p>
      <w:pPr>
        <w:pStyle w:val="2"/>
        <w:rPr>
          <w:rFonts w:hint="eastAsia"/>
        </w:rPr>
      </w:pPr>
    </w:p>
    <w:p>
      <w:pPr>
        <w:pStyle w:val="2"/>
        <w:jc w:val="both"/>
        <w:rPr>
          <w:rFonts w:hint="default" w:eastAsia="黑体"/>
          <w:sz w:val="44"/>
          <w:szCs w:val="44"/>
          <w:highlight w:val="yellow"/>
          <w:lang w:val="en-US" w:eastAsia="zh-CN"/>
        </w:rPr>
      </w:pPr>
    </w:p>
    <w:p>
      <w:pPr>
        <w:pStyle w:val="14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000000" w:themeColor="text1"/>
          <w:sz w:val="36"/>
          <w:szCs w:val="32"/>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pStyle w:val="2"/>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rPr>
          <w:color w:val="000000" w:themeColor="text1"/>
          <w:sz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kern w:val="44"/>
          <w:sz w:val="40"/>
          <w:szCs w:val="40"/>
          <w:highlight w:val="none"/>
          <w:lang w:val="en-US" w:eastAsia="zh-CN"/>
          <w14:textFill>
            <w14:solidFill>
              <w14:schemeClr w14:val="tx1"/>
            </w14:solidFill>
          </w14:textFill>
        </w:rPr>
      </w:pPr>
      <w:r>
        <w:rPr>
          <w:rFonts w:hint="eastAsia" w:ascii="宋体" w:hAnsi="宋体" w:eastAsia="宋体" w:cs="宋体"/>
          <w:b/>
          <w:bCs/>
          <w:color w:val="000000" w:themeColor="text1"/>
          <w:kern w:val="44"/>
          <w:sz w:val="40"/>
          <w:szCs w:val="40"/>
          <w:highlight w:val="none"/>
          <w:lang w:val="en-US" w:eastAsia="zh-CN"/>
          <w14:textFill>
            <w14:solidFill>
              <w14:schemeClr w14:val="tx1"/>
            </w14:solidFill>
          </w14:textFill>
        </w:rPr>
        <w:t>二〇二一年</w:t>
      </w:r>
      <w:r>
        <w:rPr>
          <w:rFonts w:hint="eastAsia" w:cs="宋体"/>
          <w:b/>
          <w:bCs/>
          <w:color w:val="000000" w:themeColor="text1"/>
          <w:kern w:val="44"/>
          <w:sz w:val="40"/>
          <w:szCs w:val="40"/>
          <w:highlight w:val="none"/>
          <w:lang w:val="en-US" w:eastAsia="zh-CN"/>
          <w14:textFill>
            <w14:solidFill>
              <w14:schemeClr w14:val="tx1"/>
            </w14:solidFill>
          </w14:textFill>
        </w:rPr>
        <w:t>九</w:t>
      </w:r>
      <w:r>
        <w:rPr>
          <w:rFonts w:hint="eastAsia" w:ascii="宋体" w:hAnsi="宋体" w:eastAsia="宋体" w:cs="宋体"/>
          <w:b/>
          <w:bCs/>
          <w:color w:val="000000" w:themeColor="text1"/>
          <w:kern w:val="44"/>
          <w:sz w:val="40"/>
          <w:szCs w:val="40"/>
          <w:highlight w:val="none"/>
          <w:lang w:val="en-US" w:eastAsia="zh-CN"/>
          <w14:textFill>
            <w14:solidFill>
              <w14:schemeClr w14:val="tx1"/>
            </w14:solidFill>
          </w14:textFill>
        </w:rPr>
        <w:t>月</w:t>
      </w:r>
    </w:p>
    <w:p>
      <w:pPr>
        <w:ind w:left="0" w:leftChars="0" w:firstLine="0" w:firstLineChars="0"/>
        <w:rPr>
          <w:color w:val="000000" w:themeColor="text1"/>
          <w:highlight w:val="red"/>
          <w14:textFill>
            <w14:solidFill>
              <w14:schemeClr w14:val="tx1"/>
            </w14:solidFill>
          </w14:textFill>
        </w:rPr>
      </w:pPr>
    </w:p>
    <w:p>
      <w:pPr>
        <w:jc w:val="center"/>
        <w:rPr>
          <w:b/>
          <w:color w:val="000000" w:themeColor="text1"/>
          <w:sz w:val="36"/>
          <w:szCs w:val="32"/>
          <w:highlight w:val="red"/>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ind w:left="0" w:leftChars="0" w:firstLine="0" w:firstLineChars="0"/>
        <w:jc w:val="center"/>
        <w:rPr>
          <w:b/>
          <w:bCs w:val="0"/>
          <w:color w:val="000000" w:themeColor="text1"/>
          <w:sz w:val="36"/>
          <w:szCs w:val="32"/>
          <w:highlight w:val="none"/>
          <w14:textFill>
            <w14:solidFill>
              <w14:schemeClr w14:val="tx1"/>
            </w14:solidFill>
          </w14:textFill>
        </w:rPr>
      </w:pPr>
      <w:r>
        <w:rPr>
          <w:b/>
          <w:bCs w:val="0"/>
          <w:color w:val="000000" w:themeColor="text1"/>
          <w:sz w:val="36"/>
          <w:szCs w:val="32"/>
          <w:highlight w:val="none"/>
          <w14:textFill>
            <w14:solidFill>
              <w14:schemeClr w14:val="tx1"/>
            </w14:solidFill>
          </w14:textFill>
        </w:rPr>
        <w:t>目</w:t>
      </w:r>
      <w:r>
        <w:rPr>
          <w:rFonts w:hint="eastAsia"/>
          <w:b/>
          <w:bCs w:val="0"/>
          <w:color w:val="000000" w:themeColor="text1"/>
          <w:sz w:val="36"/>
          <w:szCs w:val="32"/>
          <w:highlight w:val="none"/>
          <w14:textFill>
            <w14:solidFill>
              <w14:schemeClr w14:val="tx1"/>
            </w14:solidFill>
          </w14:textFill>
        </w:rPr>
        <w:t xml:space="preserve"> </w:t>
      </w:r>
      <w:r>
        <w:rPr>
          <w:b/>
          <w:bCs w:val="0"/>
          <w:color w:val="000000" w:themeColor="text1"/>
          <w:sz w:val="36"/>
          <w:szCs w:val="32"/>
          <w:highlight w:val="none"/>
          <w14:textFill>
            <w14:solidFill>
              <w14:schemeClr w14:val="tx1"/>
            </w14:solidFill>
          </w14:textFill>
        </w:rPr>
        <w:t>录</w:t>
      </w:r>
    </w:p>
    <w:p>
      <w:pPr>
        <w:pStyle w:val="19"/>
        <w:tabs>
          <w:tab w:val="right" w:leader="dot" w:pos="8306"/>
          <w:tab w:val="clear" w:pos="8296"/>
        </w:tabs>
        <w:rPr>
          <w:rFonts w:hint="eastAsia" w:ascii="黑体" w:hAnsi="黑体" w:eastAsia="黑体" w:cs="黑体"/>
        </w:rPr>
      </w:pPr>
      <w:r>
        <w:rPr>
          <w:rFonts w:hint="eastAsia" w:ascii="黑体" w:hAnsi="黑体" w:eastAsia="黑体" w:cs="黑体"/>
          <w:b w:val="0"/>
          <w:bCs w:val="0"/>
          <w:color w:val="000000" w:themeColor="text1"/>
          <w:highlight w:val="none"/>
          <w14:textFill>
            <w14:solidFill>
              <w14:schemeClr w14:val="tx1"/>
            </w14:solidFill>
          </w14:textFill>
        </w:rPr>
        <w:fldChar w:fldCharType="begin"/>
      </w:r>
      <w:r>
        <w:rPr>
          <w:rFonts w:hint="eastAsia" w:ascii="黑体" w:hAnsi="黑体" w:eastAsia="黑体" w:cs="黑体"/>
          <w:b w:val="0"/>
          <w:bCs w:val="0"/>
          <w:color w:val="000000" w:themeColor="text1"/>
          <w:highlight w:val="none"/>
          <w14:textFill>
            <w14:solidFill>
              <w14:schemeClr w14:val="tx1"/>
            </w14:solidFill>
          </w14:textFill>
        </w:rPr>
        <w:instrText xml:space="preserve"> TOC \o "1-2" \h \z \u </w:instrText>
      </w:r>
      <w:r>
        <w:rPr>
          <w:rFonts w:hint="eastAsia" w:ascii="黑体" w:hAnsi="黑体" w:eastAsia="黑体" w:cs="黑体"/>
          <w:b w:val="0"/>
          <w:bCs w:val="0"/>
          <w:color w:val="000000" w:themeColor="text1"/>
          <w:highlight w:val="none"/>
          <w14:textFill>
            <w14:solidFill>
              <w14:schemeClr w14:val="tx1"/>
            </w14:solidFill>
          </w14:textFill>
        </w:rPr>
        <w:fldChar w:fldCharType="separate"/>
      </w:r>
      <w:r>
        <w:rPr>
          <w:rFonts w:hint="eastAsia" w:ascii="黑体" w:hAnsi="黑体" w:eastAsia="黑体" w:cs="黑体"/>
          <w:bCs w:val="0"/>
          <w:color w:val="000000" w:themeColor="text1"/>
          <w:highlight w:val="none"/>
          <w14:textFill>
            <w14:solidFill>
              <w14:schemeClr w14:val="tx1"/>
            </w14:solidFill>
          </w14:textFill>
        </w:rPr>
        <w:fldChar w:fldCharType="begin"/>
      </w:r>
      <w:r>
        <w:rPr>
          <w:rFonts w:hint="eastAsia" w:ascii="黑体" w:hAnsi="黑体" w:eastAsia="黑体" w:cs="黑体"/>
          <w:bCs w:val="0"/>
          <w:highlight w:val="none"/>
        </w:rPr>
        <w:instrText xml:space="preserve"> HYPERLINK \l _Toc2577 </w:instrText>
      </w:r>
      <w:r>
        <w:rPr>
          <w:rFonts w:hint="eastAsia" w:ascii="黑体" w:hAnsi="黑体" w:eastAsia="黑体" w:cs="黑体"/>
          <w:bCs w:val="0"/>
          <w:highlight w:val="none"/>
        </w:rPr>
        <w:fldChar w:fldCharType="separate"/>
      </w:r>
      <w:r>
        <w:rPr>
          <w:rFonts w:hint="eastAsia" w:ascii="黑体" w:hAnsi="黑体" w:eastAsia="黑体" w:cs="黑体"/>
          <w:highlight w:val="none"/>
          <w:lang w:val="en-US" w:eastAsia="zh-CN"/>
        </w:rPr>
        <w:t>前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_Toc2577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val="0"/>
          <w:color w:val="000000" w:themeColor="text1"/>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_Toc3948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 xml:space="preserve">第一章 </w:t>
      </w:r>
      <w:r>
        <w:rPr>
          <w:rFonts w:hint="eastAsia" w:ascii="黑体" w:hAnsi="黑体" w:eastAsia="黑体" w:cs="黑体"/>
          <w:highlight w:val="none"/>
          <w:lang w:val="en-US" w:eastAsia="zh-CN"/>
        </w:rPr>
        <w:t>综述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_Toc3948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_Toc4381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指导思想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_Toc4381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_Toc23600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规划依据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_Toc23600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_Toc14895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规划原则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_Toc14895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_Toc4989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第四节 规划范围、期限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_Toc4989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_Toc23269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二</w:t>
      </w:r>
      <w:r>
        <w:rPr>
          <w:rFonts w:hint="eastAsia" w:ascii="黑体" w:hAnsi="黑体" w:eastAsia="黑体" w:cs="黑体"/>
          <w:highlight w:val="none"/>
        </w:rPr>
        <w:t xml:space="preserve">章 </w:t>
      </w:r>
      <w:r>
        <w:rPr>
          <w:rFonts w:hint="eastAsia" w:ascii="黑体" w:hAnsi="黑体" w:eastAsia="黑体" w:cs="黑体"/>
          <w:highlight w:val="none"/>
          <w:lang w:val="en-US" w:eastAsia="zh-CN"/>
        </w:rPr>
        <w:t>基础分析与评价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_Toc23269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_Toc17188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县域概况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_Toc17188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_Toc26036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资源环境承载能力评价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_Toc26036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_Toc26635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国土空间开发适宜性评价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_Toc26635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_Toc28453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第四节 面临形势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_Toc28453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_Toc2791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第三章 发展定位与目标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_Toc2791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_Toc21025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国省部属与区域发展目标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_Toc21025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_Toc25568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城市定位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_Toc25568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_Toc5004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国土空间发展目标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_Toc5004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_Toc17470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第四节 国土空间开发保护战略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_Toc17470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_Toc26551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第四章 国土空间格局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_Toc26551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_Toc16013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区域协同发展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_Toc16013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_Toc4216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二</w:t>
      </w:r>
      <w:r>
        <w:rPr>
          <w:rFonts w:hint="eastAsia" w:ascii="黑体" w:hAnsi="黑体" w:eastAsia="黑体" w:cs="黑体"/>
          <w:highlight w:val="none"/>
        </w:rPr>
        <w:t>节 统筹划定三区三线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_Toc4216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_Toc2270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三</w:t>
      </w:r>
      <w:r>
        <w:rPr>
          <w:rFonts w:hint="eastAsia" w:ascii="黑体" w:hAnsi="黑体" w:eastAsia="黑体" w:cs="黑体"/>
          <w:highlight w:val="none"/>
        </w:rPr>
        <w:t>节 生态保护格局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_Toc2270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_Toc16615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四</w:t>
      </w:r>
      <w:r>
        <w:rPr>
          <w:rFonts w:hint="eastAsia" w:ascii="黑体" w:hAnsi="黑体" w:eastAsia="黑体" w:cs="黑体"/>
          <w:highlight w:val="none"/>
        </w:rPr>
        <w:t>节 农业发展格局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_Toc16615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_Toc12812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第五节 城乡发展格局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_Toc12812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_Toc23565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第六节 国土规划分区与空间结构优化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_Toc23565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_Toc18991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第五章 资源保护与开发利用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_Toc18991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_Toc19979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zh-CN" w:eastAsia="zh-CN"/>
        </w:rPr>
        <w:t>第一节 水资源保护与利用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_Toc19979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_Toc24483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zh-CN" w:eastAsia="zh-CN"/>
        </w:rPr>
        <w:t>第二节 森林资源保护与利用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_Toc24483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_Toc31621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zh-CN" w:eastAsia="zh-CN"/>
        </w:rPr>
        <w:t>第三节 耕地资源保护与利用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_Toc31621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_Toc32079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zh-CN" w:eastAsia="zh-CN"/>
        </w:rPr>
        <w:t>第四节 矿产资源保护与利用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_Toc32079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_Toc24915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第六章 历史文化资源保护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_Toc24915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_Toc31755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历史文化遗产保护对象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_Toc31755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_Toc3782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历史文化遗产保护原则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_Toc3782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_Toc18522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历史文化遗产保护措施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_Toc18522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_Toc14082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七</w:t>
      </w:r>
      <w:r>
        <w:rPr>
          <w:rFonts w:hint="eastAsia" w:ascii="黑体" w:hAnsi="黑体" w:eastAsia="黑体" w:cs="黑体"/>
          <w:highlight w:val="none"/>
        </w:rPr>
        <w:t>章 支撑体系规划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_Toc14082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_Toc1746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zh-CN" w:eastAsia="zh-CN"/>
        </w:rPr>
        <w:t>第一节 产业发展规划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_Toc1746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_Toc14906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综合交通体系规划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_Toc14906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_Toc5353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县域基础设施规划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_Toc5353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_Toc19930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第四节 综合防灾减灾规划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_Toc19930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_Toc4350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第五节 乡村产业振兴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_Toc4350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_Toc25307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w:t>
      </w:r>
      <w:r>
        <w:rPr>
          <w:rFonts w:hint="eastAsia" w:ascii="黑体" w:hAnsi="黑体" w:eastAsia="黑体" w:cs="黑体"/>
          <w:highlight w:val="none"/>
          <w:lang w:val="en-US" w:eastAsia="zh-CN"/>
        </w:rPr>
        <w:t>八</w:t>
      </w:r>
      <w:r>
        <w:rPr>
          <w:rFonts w:hint="eastAsia" w:ascii="黑体" w:hAnsi="黑体" w:eastAsia="黑体" w:cs="黑体"/>
          <w:highlight w:val="none"/>
        </w:rPr>
        <w:t>章 国土综合整治与生态保护修复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_Toc25307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_Toc11224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国土综合整治与生态保护修复分区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_Toc11224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_Toc9172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统筹推进生态系统修复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_Toc9172 \h </w:instrText>
      </w:r>
      <w:r>
        <w:rPr>
          <w:rFonts w:hint="eastAsia" w:ascii="黑体" w:hAnsi="黑体" w:eastAsia="黑体" w:cs="黑体"/>
        </w:rPr>
        <w:fldChar w:fldCharType="separate"/>
      </w:r>
      <w:r>
        <w:rPr>
          <w:rFonts w:hint="eastAsia" w:ascii="黑体" w:hAnsi="黑体" w:eastAsia="黑体" w:cs="黑体"/>
        </w:rPr>
        <w:t>89</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_Toc22259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系统部署美丽城乡国土综合整治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_Toc22259 \h </w:instrText>
      </w:r>
      <w:r>
        <w:rPr>
          <w:rFonts w:hint="eastAsia" w:ascii="黑体" w:hAnsi="黑体" w:eastAsia="黑体" w:cs="黑体"/>
        </w:rPr>
        <w:fldChar w:fldCharType="separate"/>
      </w:r>
      <w:r>
        <w:rPr>
          <w:rFonts w:hint="eastAsia" w:ascii="黑体" w:hAnsi="黑体" w:eastAsia="黑体" w:cs="黑体"/>
        </w:rPr>
        <w:t>90</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_Toc28813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第四节 国土综合整治与生态修复的重点工程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_Toc28813 \h </w:instrText>
      </w:r>
      <w:r>
        <w:rPr>
          <w:rFonts w:hint="eastAsia" w:ascii="黑体" w:hAnsi="黑体" w:eastAsia="黑体" w:cs="黑体"/>
        </w:rPr>
        <w:fldChar w:fldCharType="separate"/>
      </w:r>
      <w:r>
        <w:rPr>
          <w:rFonts w:hint="eastAsia" w:ascii="黑体" w:hAnsi="黑体" w:eastAsia="黑体" w:cs="黑体"/>
        </w:rPr>
        <w:t>92</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_Toc15949 </w:instrText>
      </w:r>
      <w:r>
        <w:rPr>
          <w:rFonts w:hint="eastAsia" w:ascii="黑体" w:hAnsi="黑体" w:eastAsia="黑体" w:cs="黑体"/>
          <w:bCs w:val="0"/>
          <w:szCs w:val="24"/>
          <w:highlight w:val="none"/>
        </w:rPr>
        <w:fldChar w:fldCharType="separate"/>
      </w:r>
      <w:r>
        <w:rPr>
          <w:rFonts w:hint="eastAsia" w:ascii="黑体" w:hAnsi="黑体" w:eastAsia="黑体" w:cs="黑体"/>
          <w:bCs/>
          <w:kern w:val="44"/>
          <w:szCs w:val="36"/>
          <w:lang w:val="en-US" w:eastAsia="zh-CN" w:bidi="ar-SA"/>
        </w:rPr>
        <w:t>第九章 中心城镇规划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_Toc15949 \h </w:instrText>
      </w:r>
      <w:r>
        <w:rPr>
          <w:rFonts w:hint="eastAsia" w:ascii="黑体" w:hAnsi="黑体" w:eastAsia="黑体" w:cs="黑体"/>
        </w:rPr>
        <w:fldChar w:fldCharType="separate"/>
      </w:r>
      <w:r>
        <w:rPr>
          <w:rFonts w:hint="eastAsia" w:ascii="黑体" w:hAnsi="黑体" w:eastAsia="黑体" w:cs="黑体"/>
        </w:rPr>
        <w:t>95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_Toc11029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第一节 培育高质量一体化发展协同区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_Toc11029 \h </w:instrText>
      </w:r>
      <w:r>
        <w:rPr>
          <w:rFonts w:hint="eastAsia" w:ascii="黑体" w:hAnsi="黑体" w:eastAsia="黑体" w:cs="黑体"/>
        </w:rPr>
        <w:fldChar w:fldCharType="separate"/>
      </w:r>
      <w:r>
        <w:rPr>
          <w:rFonts w:hint="eastAsia" w:ascii="黑体" w:hAnsi="黑体" w:eastAsia="黑体" w:cs="黑体"/>
        </w:rPr>
        <w:t>95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_Toc12695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第二节 优化中心城镇总体布局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_Toc12695 \h </w:instrText>
      </w:r>
      <w:r>
        <w:rPr>
          <w:rFonts w:hint="eastAsia" w:ascii="黑体" w:hAnsi="黑体" w:eastAsia="黑体" w:cs="黑体"/>
        </w:rPr>
        <w:fldChar w:fldCharType="separate"/>
      </w:r>
      <w:r>
        <w:rPr>
          <w:rFonts w:hint="eastAsia" w:ascii="黑体" w:hAnsi="黑体" w:eastAsia="黑体" w:cs="黑体"/>
        </w:rPr>
        <w:t>102</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_Toc2737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第三节 强化中心城镇居住与住房保障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_Toc2737 \h </w:instrText>
      </w:r>
      <w:r>
        <w:rPr>
          <w:rFonts w:hint="eastAsia" w:ascii="黑体" w:hAnsi="黑体" w:eastAsia="黑体" w:cs="黑体"/>
        </w:rPr>
        <w:fldChar w:fldCharType="separate"/>
      </w:r>
      <w:r>
        <w:rPr>
          <w:rFonts w:hint="eastAsia" w:ascii="黑体" w:hAnsi="黑体" w:eastAsia="黑体" w:cs="黑体"/>
        </w:rPr>
        <w:t>107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_Toc32757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第四节 优化中心城镇综合交通组织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_Toc32757 \h </w:instrText>
      </w:r>
      <w:r>
        <w:rPr>
          <w:rFonts w:hint="eastAsia" w:ascii="黑体" w:hAnsi="黑体" w:eastAsia="黑体" w:cs="黑体"/>
        </w:rPr>
        <w:fldChar w:fldCharType="separate"/>
      </w:r>
      <w:r>
        <w:rPr>
          <w:rFonts w:hint="eastAsia" w:ascii="黑体" w:hAnsi="黑体" w:eastAsia="黑体" w:cs="黑体"/>
        </w:rPr>
        <w:t>108</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_Toc2846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第五节 完善中心城镇公共服务设施与社区生活圈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_Toc2846 \h </w:instrText>
      </w:r>
      <w:r>
        <w:rPr>
          <w:rFonts w:hint="eastAsia" w:ascii="黑体" w:hAnsi="黑体" w:eastAsia="黑体" w:cs="黑体"/>
        </w:rPr>
        <w:fldChar w:fldCharType="separate"/>
      </w:r>
      <w:r>
        <w:rPr>
          <w:rFonts w:hint="eastAsia" w:ascii="黑体" w:hAnsi="黑体" w:eastAsia="黑体" w:cs="黑体"/>
        </w:rPr>
        <w:t>111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_Toc8883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第六节 完善中心城镇市政基础设施体系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_Toc8883 \h </w:instrText>
      </w:r>
      <w:r>
        <w:rPr>
          <w:rFonts w:hint="eastAsia" w:ascii="黑体" w:hAnsi="黑体" w:eastAsia="黑体" w:cs="黑体"/>
        </w:rPr>
        <w:fldChar w:fldCharType="separate"/>
      </w:r>
      <w:r>
        <w:rPr>
          <w:rFonts w:hint="eastAsia" w:ascii="黑体" w:hAnsi="黑体" w:eastAsia="黑体" w:cs="黑体"/>
        </w:rPr>
        <w:t>113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_Toc759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第七节 完善中心城镇公共绿地与开敞空间系统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_Toc759 \h </w:instrText>
      </w:r>
      <w:r>
        <w:rPr>
          <w:rFonts w:hint="eastAsia" w:ascii="黑体" w:hAnsi="黑体" w:eastAsia="黑体" w:cs="黑体"/>
        </w:rPr>
        <w:fldChar w:fldCharType="separate"/>
      </w:r>
      <w:r>
        <w:rPr>
          <w:rFonts w:hint="eastAsia" w:ascii="黑体" w:hAnsi="黑体" w:eastAsia="黑体" w:cs="黑体"/>
        </w:rPr>
        <w:t>120</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_Toc13969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第八节 保护中心城镇自然与历史文化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_Toc13969 \h </w:instrText>
      </w:r>
      <w:r>
        <w:rPr>
          <w:rFonts w:hint="eastAsia" w:ascii="黑体" w:hAnsi="黑体" w:eastAsia="黑体" w:cs="黑体"/>
        </w:rPr>
        <w:fldChar w:fldCharType="separate"/>
      </w:r>
      <w:r>
        <w:rPr>
          <w:rFonts w:hint="eastAsia" w:ascii="黑体" w:hAnsi="黑体" w:eastAsia="黑体" w:cs="黑体"/>
        </w:rPr>
        <w:t>121</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_Toc579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第九节 管控中心城镇地下空间开发区域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_Toc579 \h </w:instrText>
      </w:r>
      <w:r>
        <w:rPr>
          <w:rFonts w:hint="eastAsia" w:ascii="黑体" w:hAnsi="黑体" w:eastAsia="黑体" w:cs="黑体"/>
        </w:rPr>
        <w:fldChar w:fldCharType="separate"/>
      </w:r>
      <w:r>
        <w:rPr>
          <w:rFonts w:hint="eastAsia" w:ascii="黑体" w:hAnsi="黑体" w:eastAsia="黑体" w:cs="黑体"/>
        </w:rPr>
        <w:t>125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_Toc157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第十节 城市公共安全与综合防灾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 \h </w:instrText>
      </w:r>
      <w:r>
        <w:rPr>
          <w:rFonts w:hint="eastAsia" w:ascii="黑体" w:hAnsi="黑体" w:eastAsia="黑体" w:cs="黑体"/>
        </w:rPr>
        <w:fldChar w:fldCharType="separate"/>
      </w:r>
      <w:r>
        <w:rPr>
          <w:rFonts w:hint="eastAsia" w:ascii="黑体" w:hAnsi="黑体" w:eastAsia="黑体" w:cs="黑体"/>
        </w:rPr>
        <w:t>127</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_Toc25203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第十一节 强化中心城镇“五线”管控</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_Toc25203 \h </w:instrText>
      </w:r>
      <w:r>
        <w:rPr>
          <w:rFonts w:hint="eastAsia" w:ascii="黑体" w:hAnsi="黑体" w:eastAsia="黑体" w:cs="黑体"/>
        </w:rPr>
        <w:fldChar w:fldCharType="separate"/>
      </w:r>
      <w:r>
        <w:rPr>
          <w:rFonts w:hint="eastAsia" w:ascii="黑体" w:hAnsi="黑体" w:eastAsia="黑体" w:cs="黑体"/>
        </w:rPr>
        <w:t>138</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_Toc25266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第十二节 推进中心城镇城市更新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_Toc25266 \h </w:instrText>
      </w:r>
      <w:r>
        <w:rPr>
          <w:rFonts w:hint="eastAsia" w:ascii="黑体" w:hAnsi="黑体" w:eastAsia="黑体" w:cs="黑体"/>
        </w:rPr>
        <w:fldChar w:fldCharType="separate"/>
      </w:r>
      <w:r>
        <w:rPr>
          <w:rFonts w:hint="eastAsia" w:ascii="黑体" w:hAnsi="黑体" w:eastAsia="黑体" w:cs="黑体"/>
        </w:rPr>
        <w:t>139</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_Toc31582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第十三节 城市设计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_Toc31582 \h </w:instrText>
      </w:r>
      <w:r>
        <w:rPr>
          <w:rFonts w:hint="eastAsia" w:ascii="黑体" w:hAnsi="黑体" w:eastAsia="黑体" w:cs="黑体"/>
        </w:rPr>
        <w:fldChar w:fldCharType="separate"/>
      </w:r>
      <w:r>
        <w:rPr>
          <w:rFonts w:hint="eastAsia" w:ascii="黑体" w:hAnsi="黑体" w:eastAsia="黑体" w:cs="黑体"/>
        </w:rPr>
        <w:t>145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_Toc1300 </w:instrText>
      </w:r>
      <w:r>
        <w:rPr>
          <w:rFonts w:hint="eastAsia" w:ascii="黑体" w:hAnsi="黑体" w:eastAsia="黑体" w:cs="黑体"/>
          <w:bCs w:val="0"/>
          <w:szCs w:val="24"/>
          <w:highlight w:val="none"/>
        </w:rPr>
        <w:fldChar w:fldCharType="separate"/>
      </w:r>
      <w:r>
        <w:rPr>
          <w:rFonts w:hint="eastAsia" w:ascii="黑体" w:hAnsi="黑体" w:eastAsia="黑体" w:cs="黑体"/>
          <w:bCs/>
          <w:kern w:val="2"/>
          <w:szCs w:val="32"/>
          <w:highlight w:val="none"/>
          <w:lang w:val="en-US" w:eastAsia="zh-CN" w:bidi="ar-SA"/>
        </w:rPr>
        <w:t>第十四节 详细单元划分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_Toc1300 \h </w:instrText>
      </w:r>
      <w:r>
        <w:rPr>
          <w:rFonts w:hint="eastAsia" w:ascii="黑体" w:hAnsi="黑体" w:eastAsia="黑体" w:cs="黑体"/>
        </w:rPr>
        <w:fldChar w:fldCharType="separate"/>
      </w:r>
      <w:r>
        <w:rPr>
          <w:rFonts w:hint="eastAsia" w:ascii="黑体" w:hAnsi="黑体" w:eastAsia="黑体" w:cs="黑体"/>
        </w:rPr>
        <w:t>153</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19"/>
        <w:tabs>
          <w:tab w:val="right" w:leader="dot" w:pos="8306"/>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_Toc19700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rPr>
        <w:t>第十章 规划实施保障措施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_Toc19700 \h </w:instrText>
      </w:r>
      <w:r>
        <w:rPr>
          <w:rFonts w:hint="eastAsia" w:ascii="黑体" w:hAnsi="黑体" w:eastAsia="黑体" w:cs="黑体"/>
        </w:rPr>
        <w:fldChar w:fldCharType="separate"/>
      </w:r>
      <w:r>
        <w:rPr>
          <w:rFonts w:hint="eastAsia" w:ascii="黑体" w:hAnsi="黑体" w:eastAsia="黑体" w:cs="黑体"/>
        </w:rPr>
        <w:t>155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_Toc26048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第一节 规划管控体系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_Toc26048 \h </w:instrText>
      </w:r>
      <w:r>
        <w:rPr>
          <w:rFonts w:hint="eastAsia" w:ascii="黑体" w:hAnsi="黑体" w:eastAsia="黑体" w:cs="黑体"/>
        </w:rPr>
        <w:fldChar w:fldCharType="separate"/>
      </w:r>
      <w:r>
        <w:rPr>
          <w:rFonts w:hint="eastAsia" w:ascii="黑体" w:hAnsi="黑体" w:eastAsia="黑体" w:cs="黑体"/>
        </w:rPr>
        <w:t>155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_Toc11204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第二节 规划监测评估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_Toc11204 \h </w:instrText>
      </w:r>
      <w:r>
        <w:rPr>
          <w:rFonts w:hint="eastAsia" w:ascii="黑体" w:hAnsi="黑体" w:eastAsia="黑体" w:cs="黑体"/>
        </w:rPr>
        <w:fldChar w:fldCharType="separate"/>
      </w:r>
      <w:r>
        <w:rPr>
          <w:rFonts w:hint="eastAsia" w:ascii="黑体" w:hAnsi="黑体" w:eastAsia="黑体" w:cs="黑体"/>
        </w:rPr>
        <w:t>155</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23"/>
        <w:tabs>
          <w:tab w:val="right" w:leader="dot" w:pos="8306"/>
          <w:tab w:val="clear" w:pos="1260"/>
          <w:tab w:val="clear" w:pos="8296"/>
        </w:tabs>
        <w:rPr>
          <w:rFonts w:hint="eastAsia" w:ascii="黑体" w:hAnsi="黑体" w:eastAsia="黑体" w:cs="黑体"/>
        </w:rPr>
      </w:pPr>
      <w:r>
        <w:rPr>
          <w:rFonts w:hint="eastAsia" w:ascii="黑体" w:hAnsi="黑体" w:eastAsia="黑体" w:cs="黑体"/>
          <w:bCs w:val="0"/>
          <w:color w:val="000000" w:themeColor="text1"/>
          <w:szCs w:val="24"/>
          <w:highlight w:val="none"/>
          <w14:textFill>
            <w14:solidFill>
              <w14:schemeClr w14:val="tx1"/>
            </w14:solidFill>
          </w14:textFill>
        </w:rPr>
        <w:fldChar w:fldCharType="begin"/>
      </w:r>
      <w:r>
        <w:rPr>
          <w:rFonts w:hint="eastAsia" w:ascii="黑体" w:hAnsi="黑体" w:eastAsia="黑体" w:cs="黑体"/>
          <w:bCs w:val="0"/>
          <w:szCs w:val="24"/>
          <w:highlight w:val="none"/>
        </w:rPr>
        <w:instrText xml:space="preserve"> HYPERLINK \l _Toc17259 </w:instrText>
      </w:r>
      <w:r>
        <w:rPr>
          <w:rFonts w:hint="eastAsia" w:ascii="黑体" w:hAnsi="黑体" w:eastAsia="黑体" w:cs="黑体"/>
          <w:bCs w:val="0"/>
          <w:szCs w:val="24"/>
          <w:highlight w:val="none"/>
        </w:rPr>
        <w:fldChar w:fldCharType="separate"/>
      </w:r>
      <w:r>
        <w:rPr>
          <w:rFonts w:hint="eastAsia" w:ascii="黑体" w:hAnsi="黑体" w:eastAsia="黑体" w:cs="黑体"/>
          <w:highlight w:val="none"/>
          <w:lang w:val="en-US" w:eastAsia="zh-CN"/>
        </w:rPr>
        <w:t>第三节 规划政策保障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_Toc17259 \h </w:instrText>
      </w:r>
      <w:r>
        <w:rPr>
          <w:rFonts w:hint="eastAsia" w:ascii="黑体" w:hAnsi="黑体" w:eastAsia="黑体" w:cs="黑体"/>
        </w:rPr>
        <w:fldChar w:fldCharType="separate"/>
      </w:r>
      <w:r>
        <w:rPr>
          <w:rFonts w:hint="eastAsia" w:ascii="黑体" w:hAnsi="黑体" w:eastAsia="黑体" w:cs="黑体"/>
        </w:rPr>
        <w:t>156</w:t>
      </w:r>
      <w:r>
        <w:rPr>
          <w:rFonts w:hint="eastAsia" w:ascii="黑体" w:hAnsi="黑体" w:eastAsia="黑体" w:cs="黑体"/>
        </w:rPr>
        <w:fldChar w:fldCharType="end"/>
      </w: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spacing w:line="288" w:lineRule="auto"/>
        <w:jc w:val="center"/>
        <w:rPr>
          <w:color w:val="000000" w:themeColor="text1"/>
          <w:sz w:val="24"/>
          <w:szCs w:val="24"/>
          <w:highlight w:val="red"/>
          <w14:textFill>
            <w14:solidFill>
              <w14:schemeClr w14:val="tx1"/>
            </w14:solidFill>
          </w14:textFill>
        </w:rPr>
        <w:sectPr>
          <w:footerReference r:id="rId7"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bCs w:val="0"/>
          <w:color w:val="000000" w:themeColor="text1"/>
          <w:szCs w:val="24"/>
          <w:highlight w:val="none"/>
          <w14:textFill>
            <w14:solidFill>
              <w14:schemeClr w14:val="tx1"/>
            </w14:solidFill>
          </w14:textFill>
        </w:rPr>
        <w:fldChar w:fldCharType="end"/>
      </w:r>
    </w:p>
    <w:p>
      <w:pPr>
        <w:pStyle w:val="3"/>
        <w:bidi w:val="0"/>
        <w:jc w:val="center"/>
        <w:rPr>
          <w:rFonts w:hint="eastAsia"/>
          <w:highlight w:val="none"/>
          <w:lang w:val="en-US" w:eastAsia="zh-CN"/>
        </w:rPr>
      </w:pPr>
      <w:bookmarkStart w:id="0" w:name="_Toc2577"/>
      <w:bookmarkStart w:id="1" w:name="_Toc67939104"/>
      <w:r>
        <w:rPr>
          <w:rFonts w:hint="eastAsia"/>
          <w:highlight w:val="none"/>
          <w:lang w:val="en-US" w:eastAsia="zh-CN"/>
        </w:rPr>
        <w:t>前 言</w:t>
      </w:r>
      <w:bookmarkEnd w:id="0"/>
    </w:p>
    <w:p>
      <w:pPr>
        <w:bidi w:val="0"/>
        <w:ind w:firstLine="560" w:firstLineChars="200"/>
        <w:rPr>
          <w:rFonts w:hint="default" w:ascii="仿宋_GB2312" w:hAnsi="仿宋_GB2312" w:eastAsia="仿宋_GB2312" w:cs="仿宋_GB2312"/>
          <w:sz w:val="28"/>
          <w:szCs w:val="22"/>
          <w:highlight w:val="none"/>
          <w:lang w:val="en-US" w:eastAsia="zh-CN"/>
        </w:rPr>
      </w:pPr>
      <w:r>
        <w:rPr>
          <w:rFonts w:hint="default" w:ascii="仿宋_GB2312" w:hAnsi="仿宋_GB2312" w:eastAsia="仿宋_GB2312" w:cs="仿宋_GB2312"/>
          <w:sz w:val="28"/>
          <w:szCs w:val="22"/>
          <w:highlight w:val="none"/>
          <w:lang w:val="en-US" w:eastAsia="zh-CN"/>
        </w:rPr>
        <w:t>为构建新时代科学适度有序的国土空间布局体系，统筹推进国土空间开发利用，全面提升国土空间治理能力，大力推动高质量建设</w:t>
      </w:r>
      <w:r>
        <w:rPr>
          <w:rFonts w:hint="eastAsia" w:ascii="仿宋_GB2312" w:hAnsi="仿宋_GB2312" w:eastAsia="仿宋_GB2312" w:cs="仿宋_GB2312"/>
          <w:sz w:val="28"/>
          <w:szCs w:val="22"/>
          <w:highlight w:val="none"/>
          <w:lang w:val="en-US" w:eastAsia="zh-CN"/>
        </w:rPr>
        <w:t>，</w:t>
      </w:r>
      <w:r>
        <w:rPr>
          <w:rFonts w:hint="default" w:ascii="仿宋_GB2312" w:hAnsi="仿宋_GB2312" w:eastAsia="仿宋_GB2312" w:cs="仿宋_GB2312"/>
          <w:sz w:val="28"/>
          <w:szCs w:val="22"/>
          <w:highlight w:val="none"/>
          <w:lang w:val="en-US" w:eastAsia="zh-CN"/>
        </w:rPr>
        <w:t>以习近平新时代中国特色社会主义思想为指导，全面贯彻党的十九大和十九届二中、三中、四中、五中全会精神，认真落实习近平总书记视察黑龙江省时的重要讲话和指示精神，按照党中央、国务院决策部署，坚持新发展理念和高质量发展要求，全面落实县委“六个桦南”战略部署，贯彻《中共中央国务院关于建立国土空间规划体系并监督实施的若干意见》（中发〔2019〕18号）</w:t>
      </w:r>
      <w:r>
        <w:rPr>
          <w:rFonts w:hint="eastAsia" w:ascii="仿宋_GB2312" w:hAnsi="仿宋_GB2312" w:eastAsia="仿宋_GB2312" w:cs="仿宋_GB2312"/>
          <w:sz w:val="28"/>
          <w:szCs w:val="22"/>
          <w:highlight w:val="none"/>
          <w:lang w:val="en-US" w:eastAsia="zh-CN"/>
        </w:rPr>
        <w:t>、</w:t>
      </w:r>
      <w:r>
        <w:rPr>
          <w:rFonts w:hint="default" w:ascii="仿宋_GB2312" w:hAnsi="仿宋_GB2312" w:eastAsia="仿宋_GB2312" w:cs="仿宋_GB2312"/>
          <w:sz w:val="28"/>
          <w:szCs w:val="22"/>
          <w:highlight w:val="none"/>
          <w:lang w:val="en-US" w:eastAsia="zh-CN"/>
        </w:rPr>
        <w:t>《自然资源部关于全面开展国土空间规划工作的通知》（自然资源〔2019〕87号）、《黑龙江省自然资源厅关于全面开展全省国土空间规划工作的通知》（黑自然资函〔2019〕291号）等文件的精神，依据《</w:t>
      </w:r>
      <w:r>
        <w:rPr>
          <w:rFonts w:hint="eastAsia" w:ascii="仿宋_GB2312" w:hAnsi="仿宋_GB2312" w:eastAsia="仿宋_GB2312" w:cs="仿宋_GB2312"/>
          <w:sz w:val="28"/>
          <w:szCs w:val="22"/>
          <w:highlight w:val="none"/>
          <w:lang w:val="en-US" w:eastAsia="zh-CN"/>
        </w:rPr>
        <w:t>黑龙江省</w:t>
      </w:r>
      <w:r>
        <w:rPr>
          <w:rFonts w:hint="default" w:ascii="仿宋_GB2312" w:hAnsi="仿宋_GB2312" w:eastAsia="仿宋_GB2312" w:cs="仿宋_GB2312"/>
          <w:sz w:val="28"/>
          <w:szCs w:val="22"/>
          <w:highlight w:val="none"/>
          <w:lang w:val="en-US" w:eastAsia="zh-CN"/>
        </w:rPr>
        <w:t>国土空间</w:t>
      </w:r>
      <w:r>
        <w:rPr>
          <w:rFonts w:hint="eastAsia" w:ascii="仿宋_GB2312" w:hAnsi="仿宋_GB2312" w:eastAsia="仿宋_GB2312" w:cs="仿宋_GB2312"/>
          <w:sz w:val="28"/>
          <w:szCs w:val="22"/>
          <w:highlight w:val="none"/>
          <w:lang w:val="en-US" w:eastAsia="zh-CN"/>
        </w:rPr>
        <w:t>总体</w:t>
      </w:r>
      <w:r>
        <w:rPr>
          <w:rFonts w:hint="default" w:ascii="仿宋_GB2312" w:hAnsi="仿宋_GB2312" w:eastAsia="仿宋_GB2312" w:cs="仿宋_GB2312"/>
          <w:sz w:val="28"/>
          <w:szCs w:val="22"/>
          <w:highlight w:val="none"/>
          <w:lang w:val="en-US" w:eastAsia="zh-CN"/>
        </w:rPr>
        <w:t>规划（20</w:t>
      </w:r>
      <w:r>
        <w:rPr>
          <w:rFonts w:hint="eastAsia" w:ascii="仿宋_GB2312" w:hAnsi="仿宋_GB2312" w:eastAsia="仿宋_GB2312" w:cs="仿宋_GB2312"/>
          <w:sz w:val="28"/>
          <w:szCs w:val="22"/>
          <w:highlight w:val="none"/>
          <w:lang w:val="en-US" w:eastAsia="zh-CN"/>
        </w:rPr>
        <w:t>21-</w:t>
      </w:r>
      <w:r>
        <w:rPr>
          <w:rFonts w:hint="default" w:ascii="仿宋_GB2312" w:hAnsi="仿宋_GB2312" w:eastAsia="仿宋_GB2312" w:cs="仿宋_GB2312"/>
          <w:sz w:val="28"/>
          <w:szCs w:val="22"/>
          <w:highlight w:val="none"/>
          <w:lang w:val="en-US" w:eastAsia="zh-CN"/>
        </w:rPr>
        <w:t>2035年）》</w:t>
      </w:r>
      <w:r>
        <w:rPr>
          <w:rFonts w:hint="eastAsia" w:ascii="仿宋_GB2312" w:hAnsi="仿宋_GB2312" w:eastAsia="仿宋_GB2312" w:cs="仿宋_GB2312"/>
          <w:sz w:val="28"/>
          <w:szCs w:val="22"/>
          <w:highlight w:val="none"/>
          <w:lang w:val="en-US" w:eastAsia="zh-CN"/>
        </w:rPr>
        <w:t>、《佳木斯市国土空间总体规划（2021-2035年）》</w:t>
      </w:r>
      <w:r>
        <w:rPr>
          <w:rFonts w:hint="default" w:ascii="仿宋_GB2312" w:hAnsi="仿宋_GB2312" w:eastAsia="仿宋_GB2312" w:cs="仿宋_GB2312"/>
          <w:sz w:val="28"/>
          <w:szCs w:val="22"/>
          <w:highlight w:val="none"/>
          <w:lang w:val="en-US" w:eastAsia="zh-CN"/>
        </w:rPr>
        <w:t>的要求，</w:t>
      </w:r>
      <w:r>
        <w:rPr>
          <w:rFonts w:hint="eastAsia" w:ascii="仿宋_GB2312" w:hAnsi="仿宋_GB2312" w:eastAsia="仿宋_GB2312" w:cs="仿宋_GB2312"/>
          <w:sz w:val="28"/>
          <w:szCs w:val="22"/>
          <w:highlight w:val="none"/>
          <w:lang w:val="en-US" w:eastAsia="zh-CN"/>
        </w:rPr>
        <w:t>桦南县委、县</w:t>
      </w:r>
      <w:r>
        <w:rPr>
          <w:rFonts w:hint="default" w:ascii="仿宋_GB2312" w:hAnsi="仿宋_GB2312" w:eastAsia="仿宋_GB2312" w:cs="仿宋_GB2312"/>
          <w:sz w:val="28"/>
          <w:szCs w:val="22"/>
          <w:highlight w:val="none"/>
          <w:lang w:val="en-US" w:eastAsia="zh-CN"/>
        </w:rPr>
        <w:t>政府组织编制了《</w:t>
      </w:r>
      <w:r>
        <w:rPr>
          <w:rFonts w:hint="eastAsia" w:ascii="仿宋_GB2312" w:hAnsi="仿宋_GB2312" w:eastAsia="仿宋_GB2312" w:cs="仿宋_GB2312"/>
          <w:sz w:val="28"/>
          <w:szCs w:val="22"/>
          <w:highlight w:val="none"/>
          <w:lang w:val="en-US" w:eastAsia="zh-CN"/>
        </w:rPr>
        <w:t>桦南县</w:t>
      </w:r>
      <w:r>
        <w:rPr>
          <w:rFonts w:hint="default" w:ascii="仿宋_GB2312" w:hAnsi="仿宋_GB2312" w:eastAsia="仿宋_GB2312" w:cs="仿宋_GB2312"/>
          <w:sz w:val="28"/>
          <w:szCs w:val="22"/>
          <w:highlight w:val="none"/>
          <w:lang w:val="en-US" w:eastAsia="zh-CN"/>
        </w:rPr>
        <w:t>国土空间总体规划（202</w:t>
      </w:r>
      <w:r>
        <w:rPr>
          <w:rFonts w:hint="eastAsia" w:ascii="仿宋_GB2312" w:hAnsi="仿宋_GB2312" w:eastAsia="仿宋_GB2312" w:cs="仿宋_GB2312"/>
          <w:sz w:val="28"/>
          <w:szCs w:val="22"/>
          <w:highlight w:val="none"/>
          <w:lang w:val="en-US" w:eastAsia="zh-CN"/>
        </w:rPr>
        <w:t>1</w:t>
      </w:r>
      <w:r>
        <w:rPr>
          <w:rFonts w:hint="default" w:ascii="仿宋_GB2312" w:hAnsi="仿宋_GB2312" w:eastAsia="仿宋_GB2312" w:cs="仿宋_GB2312"/>
          <w:sz w:val="28"/>
          <w:szCs w:val="22"/>
          <w:highlight w:val="none"/>
          <w:lang w:val="en-US" w:eastAsia="zh-CN"/>
        </w:rPr>
        <w:t>-2035年）》（以下简称《规划》）。</w:t>
      </w:r>
    </w:p>
    <w:p>
      <w:pPr>
        <w:bidi w:val="0"/>
        <w:ind w:firstLine="560" w:firstLineChars="200"/>
        <w:rPr>
          <w:rFonts w:hint="default" w:ascii="仿宋_GB2312" w:hAnsi="仿宋_GB2312" w:eastAsia="仿宋_GB2312" w:cs="仿宋_GB2312"/>
          <w:sz w:val="28"/>
          <w:szCs w:val="22"/>
          <w:highlight w:val="none"/>
          <w:lang w:val="en-US" w:eastAsia="zh-CN"/>
        </w:rPr>
      </w:pPr>
      <w:r>
        <w:rPr>
          <w:rFonts w:hint="default" w:ascii="仿宋_GB2312" w:hAnsi="仿宋_GB2312" w:eastAsia="仿宋_GB2312" w:cs="仿宋_GB2312"/>
          <w:sz w:val="28"/>
          <w:szCs w:val="22"/>
          <w:highlight w:val="none"/>
          <w:lang w:val="en-US" w:eastAsia="zh-CN"/>
        </w:rPr>
        <w:t>《规划》是对</w:t>
      </w:r>
      <w:r>
        <w:rPr>
          <w:rFonts w:hint="eastAsia" w:ascii="仿宋_GB2312" w:hAnsi="仿宋_GB2312" w:eastAsia="仿宋_GB2312" w:cs="仿宋_GB2312"/>
          <w:sz w:val="28"/>
          <w:szCs w:val="22"/>
          <w:highlight w:val="none"/>
          <w:lang w:val="en-US" w:eastAsia="zh-CN"/>
        </w:rPr>
        <w:t>桦南县</w:t>
      </w:r>
      <w:r>
        <w:rPr>
          <w:rFonts w:hint="default" w:ascii="仿宋_GB2312" w:hAnsi="仿宋_GB2312" w:eastAsia="仿宋_GB2312" w:cs="仿宋_GB2312"/>
          <w:sz w:val="28"/>
          <w:szCs w:val="22"/>
          <w:highlight w:val="none"/>
          <w:lang w:val="en-US" w:eastAsia="zh-CN"/>
        </w:rPr>
        <w:t>全域国土空间开发、资源环境保护、国土综合整治和保障体系建设等做出总体部署与统筹安排,是强化国土空间用途管制、优化宏观调控和资源配置的重要公共政策与管理手段，是编制相关专项规划、详细规划和进行各项建设活动的法定依据，是协调人口资源环境与社会经济发展的战略性、基础性和综合性规划。</w:t>
      </w:r>
    </w:p>
    <w:p>
      <w:pPr>
        <w:bidi w:val="0"/>
        <w:ind w:firstLine="560" w:firstLineChars="200"/>
        <w:rPr>
          <w:rFonts w:hint="default" w:ascii="仿宋_GB2312" w:hAnsi="仿宋_GB2312" w:eastAsia="仿宋_GB2312" w:cs="仿宋_GB2312"/>
          <w:sz w:val="28"/>
          <w:szCs w:val="22"/>
          <w:highlight w:val="none"/>
          <w:lang w:val="en-US" w:eastAsia="zh-CN"/>
        </w:rPr>
      </w:pPr>
      <w:r>
        <w:rPr>
          <w:rFonts w:hint="eastAsia" w:ascii="仿宋_GB2312" w:hAnsi="仿宋_GB2312" w:eastAsia="仿宋_GB2312" w:cs="仿宋_GB2312"/>
          <w:sz w:val="28"/>
          <w:szCs w:val="22"/>
          <w:highlight w:val="none"/>
          <w:lang w:val="en-US" w:eastAsia="zh-CN"/>
        </w:rPr>
        <w:t>本次</w:t>
      </w:r>
      <w:r>
        <w:rPr>
          <w:rFonts w:hint="default" w:ascii="仿宋_GB2312" w:hAnsi="仿宋_GB2312" w:eastAsia="仿宋_GB2312" w:cs="仿宋_GB2312"/>
          <w:sz w:val="28"/>
          <w:szCs w:val="22"/>
          <w:highlight w:val="none"/>
          <w:lang w:val="en-US" w:eastAsia="zh-CN"/>
        </w:rPr>
        <w:t>规划范围包括桦南县行政辖区内全部陆域国土空间，总面积共4417.97平方公里。规划期限为202</w:t>
      </w:r>
      <w:r>
        <w:rPr>
          <w:rFonts w:hint="eastAsia" w:ascii="仿宋_GB2312" w:hAnsi="仿宋_GB2312" w:eastAsia="仿宋_GB2312" w:cs="仿宋_GB2312"/>
          <w:sz w:val="28"/>
          <w:szCs w:val="22"/>
          <w:highlight w:val="none"/>
          <w:lang w:val="en-US" w:eastAsia="zh-CN"/>
        </w:rPr>
        <w:t>1</w:t>
      </w:r>
      <w:r>
        <w:rPr>
          <w:rFonts w:hint="default" w:ascii="仿宋_GB2312" w:hAnsi="仿宋_GB2312" w:eastAsia="仿宋_GB2312" w:cs="仿宋_GB2312"/>
          <w:sz w:val="28"/>
          <w:szCs w:val="22"/>
          <w:highlight w:val="none"/>
          <w:lang w:val="en-US" w:eastAsia="zh-CN"/>
        </w:rPr>
        <w:t>年至2035年，近期为2025年，远景展望至2050年</w:t>
      </w:r>
      <w:r>
        <w:rPr>
          <w:rFonts w:hint="eastAsia" w:ascii="仿宋_GB2312" w:hAnsi="仿宋_GB2312" w:eastAsia="仿宋_GB2312" w:cs="仿宋_GB2312"/>
          <w:sz w:val="28"/>
          <w:szCs w:val="22"/>
          <w:highlight w:val="none"/>
          <w:lang w:val="en-US" w:eastAsia="zh-CN"/>
        </w:rPr>
        <w:t>。</w:t>
      </w:r>
    </w:p>
    <w:p>
      <w:pPr>
        <w:pStyle w:val="3"/>
        <w:bidi w:val="0"/>
        <w:rPr>
          <w:rFonts w:hint="default" w:ascii="宋体" w:hAnsi="宋体" w:eastAsia="宋体" w:cs="Times New Roman"/>
          <w:lang w:val="en-US" w:eastAsia="zh-CN"/>
        </w:rPr>
      </w:pPr>
      <w:bookmarkStart w:id="2" w:name="_Toc3948"/>
      <w:r>
        <w:rPr>
          <w:rFonts w:hint="eastAsia"/>
          <w:highlight w:val="none"/>
        </w:rPr>
        <w:t xml:space="preserve">第一章 </w:t>
      </w:r>
      <w:r>
        <w:rPr>
          <w:rFonts w:hint="eastAsia"/>
          <w:highlight w:val="none"/>
          <w:lang w:val="en-US" w:eastAsia="zh-CN"/>
        </w:rPr>
        <w:t>综述</w:t>
      </w:r>
      <w:bookmarkEnd w:id="2"/>
    </w:p>
    <w:p>
      <w:pPr>
        <w:pStyle w:val="4"/>
        <w:bidi w:val="0"/>
        <w:rPr>
          <w:rFonts w:hint="eastAsia" w:cs="Times New Roman"/>
          <w:highlight w:val="none"/>
          <w:lang w:val="en-US" w:eastAsia="zh-CN"/>
        </w:rPr>
      </w:pPr>
      <w:bookmarkStart w:id="3" w:name="_Toc4381"/>
      <w:r>
        <w:rPr>
          <w:rFonts w:hint="eastAsia" w:cs="Times New Roman"/>
          <w:highlight w:val="none"/>
          <w:lang w:val="en-US" w:eastAsia="zh-CN"/>
        </w:rPr>
        <w:t>第一节 指导思想</w:t>
      </w:r>
      <w:bookmarkEnd w:id="3"/>
    </w:p>
    <w:p>
      <w:pPr>
        <w:keepNext w:val="0"/>
        <w:keepLines w:val="0"/>
        <w:pageBreakBefore w:val="0"/>
        <w:widowControl w:val="0"/>
        <w:kinsoku/>
        <w:wordWrap/>
        <w:overflowPunct w:val="0"/>
        <w:topLinePunct w:val="0"/>
        <w:autoSpaceDE/>
        <w:autoSpaceDN/>
        <w:bidi w:val="0"/>
        <w:adjustRightInd/>
        <w:snapToGrid/>
        <w:textAlignment w:val="auto"/>
        <w:rPr>
          <w:rFonts w:ascii="宋体" w:hAnsi="宋体" w:eastAsia="宋体" w:cs="Times New Roman"/>
          <w:highlight w:val="red"/>
        </w:rPr>
      </w:pPr>
      <w:r>
        <w:rPr>
          <w:rFonts w:hint="default" w:ascii="仿宋_GB2312" w:hAnsi="仿宋_GB2312" w:eastAsia="仿宋_GB2312" w:cs="仿宋_GB2312"/>
          <w:highlight w:val="none"/>
          <w:lang w:val="en-US" w:eastAsia="zh-CN"/>
        </w:rPr>
        <w:t>以习近平新时代中国特色社会主义思想为指导</w:t>
      </w:r>
      <w:r>
        <w:rPr>
          <w:rFonts w:hint="eastAsia" w:ascii="仿宋_GB2312" w:hAnsi="仿宋_GB2312" w:eastAsia="仿宋_GB2312" w:cs="仿宋_GB2312"/>
          <w:highlight w:val="none"/>
          <w:lang w:val="en-US" w:eastAsia="zh-CN"/>
        </w:rPr>
        <w:t>，</w:t>
      </w:r>
      <w:r>
        <w:rPr>
          <w:rFonts w:hint="default" w:ascii="仿宋_GB2312" w:hAnsi="仿宋_GB2312" w:eastAsia="仿宋_GB2312" w:cs="仿宋_GB2312"/>
          <w:highlight w:val="none"/>
          <w:lang w:val="en-US" w:eastAsia="zh-CN"/>
        </w:rPr>
        <w:t>全面贯彻党的十九大和十九届二中、三中、四中、五中全会精神</w:t>
      </w:r>
      <w:r>
        <w:rPr>
          <w:rFonts w:hint="eastAsia" w:ascii="仿宋_GB2312" w:hAnsi="仿宋_GB2312" w:eastAsia="仿宋_GB2312" w:cs="仿宋_GB2312"/>
          <w:highlight w:val="none"/>
          <w:lang w:val="en-US" w:eastAsia="zh-CN"/>
        </w:rPr>
        <w:t>，认真落实习近平总书记视察黑龙江省时的重要讲话和指示精神</w:t>
      </w:r>
      <w:r>
        <w:rPr>
          <w:rFonts w:hint="eastAsia" w:ascii="仿宋_GB2312" w:hAnsi="仿宋" w:eastAsia="仿宋_GB2312" w:cs="Tahoma"/>
          <w:color w:val="000000"/>
          <w:kern w:val="0"/>
          <w:sz w:val="32"/>
          <w:szCs w:val="32"/>
        </w:rPr>
        <w:t>，</w:t>
      </w:r>
      <w:r>
        <w:rPr>
          <w:rFonts w:hint="eastAsia" w:ascii="仿宋_GB2312" w:hAnsi="仿宋_GB2312" w:eastAsia="仿宋_GB2312" w:cs="仿宋_GB2312"/>
          <w:highlight w:val="none"/>
          <w:lang w:val="en-US" w:eastAsia="zh-CN"/>
        </w:rPr>
        <w:t>按照党中央、国务院决策部署，坚持新发展理念和高质量发展要求，全面落实县委“六个桦南”战略部署，立足我县资源禀赋和经济社会发展实际，坚持空间开发与承载能力相匹配、集聚开发与均衡发展相协调、分类保护和综合整治相促进、资源节约与环境友好相统一，高质量完成国土空间规划编制。健全国土空间开发保护制度，体现战略性、提高科学性、强化权威性、加强协调性、注重操作性，实现国土空间开发保护更高质量、更有效率、更加公平、更可持续。</w:t>
      </w:r>
    </w:p>
    <w:p>
      <w:pPr>
        <w:pStyle w:val="4"/>
        <w:bidi w:val="0"/>
        <w:rPr>
          <w:rFonts w:hint="eastAsia" w:cs="Times New Roman"/>
          <w:highlight w:val="none"/>
          <w:lang w:val="en-US" w:eastAsia="zh-CN"/>
        </w:rPr>
      </w:pPr>
      <w:bookmarkStart w:id="4" w:name="_Toc23600"/>
      <w:r>
        <w:rPr>
          <w:rFonts w:hint="default" w:cs="Times New Roman"/>
          <w:highlight w:val="none"/>
          <w:lang w:val="en-US" w:eastAsia="zh-CN"/>
        </w:rPr>
        <w:t>第</w:t>
      </w:r>
      <w:r>
        <w:rPr>
          <w:rFonts w:hint="eastAsia" w:cs="Times New Roman"/>
          <w:highlight w:val="none"/>
          <w:lang w:val="en-US" w:eastAsia="zh-CN"/>
        </w:rPr>
        <w:t>二节 规划依据</w:t>
      </w:r>
      <w:bookmarkEnd w:id="4"/>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1、《中华人民共和国土地管理法》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2、《中华人民共和国城乡规划法》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3、《中华人民共和国环境保护法》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4、《中共中央 国务院 关于建立国土空间规划体系并监督实施的若干意见》（中发〔2019〕18 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5、《自然资源部 关于全面开展国土空间规划工作的通知》（自然资发〔2019〕87号）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6、《中共中央办公厅 国务院 办公厅印发〈关于在国土空间规划中统筹划定落实三条控制线的指导意见〉的通知》（厅字〔2019〕48号）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lang w:val="zh-CN" w:eastAsia="zh-CN"/>
        </w:rPr>
        <w:t>《中共中央 国务院</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lang w:val="zh-CN" w:eastAsia="zh-CN"/>
        </w:rPr>
        <w:t>关于实施乡村振兴战略的意见》（中发〔2018〕</w:t>
      </w:r>
      <w:r>
        <w:rPr>
          <w:rFonts w:hint="default" w:ascii="仿宋_GB2312" w:hAnsi="仿宋_GB2312" w:eastAsia="仿宋_GB2312" w:cs="仿宋_GB2312"/>
          <w:highlight w:val="none"/>
          <w:lang w:val="en-US" w:eastAsia="zh-CN"/>
        </w:rPr>
        <w:t>1 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lang w:val="zh-CN" w:eastAsia="zh-CN"/>
        </w:rPr>
        <w:t>《自然资源部办公厅</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lang w:val="zh-CN" w:eastAsia="zh-CN"/>
        </w:rPr>
        <w:t>关于加强村庄规划促进乡村振兴的通知》（自然资办发〔2019] 35号）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9、《自然资源部办公厅 关于印发资源环境承载能力和国土空间开发适宜性评价指南（试行）》的函（自然资办函〔</w:t>
      </w:r>
      <w:bookmarkStart w:id="179" w:name="_GoBack"/>
      <w:bookmarkEnd w:id="179"/>
      <w:r>
        <w:rPr>
          <w:rFonts w:hint="eastAsia" w:ascii="仿宋_GB2312" w:hAnsi="仿宋_GB2312" w:eastAsia="仿宋_GB2312" w:cs="仿宋_GB2312"/>
          <w:highlight w:val="none"/>
          <w:lang w:val="en-US" w:eastAsia="zh-CN"/>
        </w:rPr>
        <w:t>2020]127号）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10、《自然资源部办公厅 关于加强国土空间规划监督管理的通知》（自然资办发〔2020〕27号）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11、《自然资源部办公厅 关于加强国土空间规划监督管理的通知》（自然资办发〔2020〕27号）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12、《自然资源部 农业农村部关于加强和改进永久基本农田保护工作的通知》（自然资规〔2019〕1 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r>
        <w:rPr>
          <w:rFonts w:hint="default"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val="en-US" w:eastAsia="zh-CN"/>
        </w:rPr>
        <w:t>黑龙江省</w:t>
      </w:r>
      <w:r>
        <w:rPr>
          <w:rFonts w:hint="default" w:ascii="仿宋_GB2312" w:hAnsi="仿宋_GB2312" w:eastAsia="仿宋_GB2312" w:cs="仿宋_GB2312"/>
          <w:highlight w:val="none"/>
          <w:lang w:val="en-US" w:eastAsia="zh-CN"/>
        </w:rPr>
        <w:t>自然资源厅</w:t>
      </w:r>
      <w:r>
        <w:rPr>
          <w:rFonts w:hint="eastAsia" w:ascii="仿宋_GB2312" w:hAnsi="仿宋_GB2312" w:eastAsia="仿宋_GB2312" w:cs="仿宋_GB2312"/>
          <w:highlight w:val="none"/>
          <w:lang w:val="en-US" w:eastAsia="zh-CN"/>
        </w:rPr>
        <w:t xml:space="preserve"> </w:t>
      </w:r>
      <w:r>
        <w:rPr>
          <w:rFonts w:hint="default" w:ascii="仿宋_GB2312" w:hAnsi="仿宋_GB2312" w:eastAsia="仿宋_GB2312" w:cs="仿宋_GB2312"/>
          <w:highlight w:val="none"/>
          <w:lang w:val="en-US" w:eastAsia="zh-CN"/>
        </w:rPr>
        <w:t>关于全面开展</w:t>
      </w:r>
      <w:r>
        <w:rPr>
          <w:rFonts w:hint="eastAsia" w:ascii="仿宋_GB2312" w:hAnsi="仿宋_GB2312" w:eastAsia="仿宋_GB2312" w:cs="仿宋_GB2312"/>
          <w:highlight w:val="none"/>
          <w:lang w:val="en-US" w:eastAsia="zh-CN"/>
        </w:rPr>
        <w:t>全省</w:t>
      </w:r>
      <w:r>
        <w:rPr>
          <w:rFonts w:hint="default" w:ascii="仿宋_GB2312" w:hAnsi="仿宋_GB2312" w:eastAsia="仿宋_GB2312" w:cs="仿宋_GB2312"/>
          <w:highlight w:val="none"/>
          <w:lang w:val="en-US" w:eastAsia="zh-CN"/>
        </w:rPr>
        <w:t>国土空间规划工作的通知》（</w:t>
      </w:r>
      <w:r>
        <w:rPr>
          <w:rFonts w:hint="eastAsia" w:ascii="仿宋_GB2312" w:hAnsi="仿宋_GB2312" w:eastAsia="仿宋_GB2312" w:cs="仿宋_GB2312"/>
          <w:highlight w:val="none"/>
          <w:lang w:val="en-US" w:eastAsia="zh-CN"/>
        </w:rPr>
        <w:t>黑</w:t>
      </w:r>
      <w:r>
        <w:rPr>
          <w:rFonts w:hint="default" w:ascii="仿宋_GB2312" w:hAnsi="仿宋_GB2312" w:eastAsia="仿宋_GB2312" w:cs="仿宋_GB2312"/>
          <w:highlight w:val="none"/>
          <w:lang w:val="en-US" w:eastAsia="zh-CN"/>
        </w:rPr>
        <w:t>自然资</w:t>
      </w:r>
      <w:r>
        <w:rPr>
          <w:rFonts w:hint="eastAsia" w:ascii="仿宋_GB2312" w:hAnsi="仿宋_GB2312" w:eastAsia="仿宋_GB2312" w:cs="仿宋_GB2312"/>
          <w:highlight w:val="none"/>
          <w:lang w:val="en-US" w:eastAsia="zh-CN"/>
        </w:rPr>
        <w:t>函</w:t>
      </w:r>
      <w:r>
        <w:rPr>
          <w:rFonts w:hint="default" w:ascii="仿宋_GB2312" w:hAnsi="仿宋_GB2312" w:eastAsia="仿宋_GB2312" w:cs="仿宋_GB2312"/>
          <w:highlight w:val="none"/>
          <w:lang w:val="en-US" w:eastAsia="zh-CN"/>
        </w:rPr>
        <w:t>〔2019〕</w:t>
      </w:r>
      <w:r>
        <w:rPr>
          <w:rFonts w:hint="eastAsia" w:ascii="仿宋_GB2312" w:hAnsi="仿宋_GB2312" w:eastAsia="仿宋_GB2312" w:cs="仿宋_GB2312"/>
          <w:highlight w:val="none"/>
          <w:lang w:val="en-US" w:eastAsia="zh-CN"/>
        </w:rPr>
        <w:t>291</w:t>
      </w:r>
      <w:r>
        <w:rPr>
          <w:rFonts w:hint="default" w:ascii="仿宋_GB2312" w:hAnsi="仿宋_GB2312" w:eastAsia="仿宋_GB2312" w:cs="仿宋_GB2312"/>
          <w:highlight w:val="none"/>
          <w:lang w:val="en-US" w:eastAsia="zh-CN"/>
        </w:rPr>
        <w:t>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14、国家、省、市相关法律、法规及标准规范等</w:t>
      </w:r>
    </w:p>
    <w:p>
      <w:pPr>
        <w:pStyle w:val="4"/>
        <w:bidi w:val="0"/>
        <w:rPr>
          <w:rFonts w:hint="eastAsia" w:cs="Times New Roman"/>
          <w:highlight w:val="none"/>
          <w:lang w:val="en-US" w:eastAsia="zh-CN"/>
        </w:rPr>
      </w:pPr>
      <w:bookmarkStart w:id="5" w:name="_Toc14895"/>
      <w:r>
        <w:rPr>
          <w:rFonts w:hint="default" w:cs="Times New Roman"/>
          <w:highlight w:val="none"/>
          <w:lang w:val="en-US" w:eastAsia="zh-CN"/>
        </w:rPr>
        <w:t>第</w:t>
      </w:r>
      <w:r>
        <w:rPr>
          <w:rFonts w:hint="eastAsia" w:cs="Times New Roman"/>
          <w:highlight w:val="none"/>
          <w:lang w:val="en-US" w:eastAsia="zh-CN"/>
        </w:rPr>
        <w:t>三</w:t>
      </w:r>
      <w:r>
        <w:rPr>
          <w:rFonts w:hint="default" w:cs="Times New Roman"/>
          <w:highlight w:val="none"/>
          <w:lang w:val="en-US" w:eastAsia="zh-CN"/>
        </w:rPr>
        <w:t>节</w:t>
      </w:r>
      <w:r>
        <w:rPr>
          <w:rFonts w:hint="eastAsia" w:cs="Times New Roman"/>
          <w:highlight w:val="none"/>
          <w:lang w:val="en-US" w:eastAsia="zh-CN"/>
        </w:rPr>
        <w:t xml:space="preserve"> 规划原则</w:t>
      </w:r>
      <w:bookmarkEnd w:id="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生态优先，绿色发展</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坚持生态优先、保护优先</w:t>
      </w:r>
      <w:r>
        <w:rPr>
          <w:rFonts w:hint="eastAsia" w:ascii="仿宋_GB2312" w:hAnsi="仿宋_GB2312" w:eastAsia="仿宋_GB2312" w:cs="仿宋_GB2312"/>
          <w:highlight w:val="none"/>
          <w:lang w:val="en-US" w:eastAsia="zh-CN"/>
        </w:rPr>
        <w:t>。</w:t>
      </w:r>
      <w:r>
        <w:rPr>
          <w:rFonts w:hint="default" w:ascii="仿宋_GB2312" w:hAnsi="仿宋_GB2312" w:eastAsia="仿宋_GB2312" w:cs="仿宋_GB2312"/>
          <w:highlight w:val="none"/>
          <w:lang w:val="en-US" w:eastAsia="zh-CN"/>
        </w:rPr>
        <w:t>思想上和价值导向上必须落实“人与自然和谐共生”、“绿水青山就是金山银山”、“良好生态环境是最普惠的民生福祉”、“山水林田湖草是生命共同体”等生态文明要求和方针，推进生态系统修复保护，保障生态安全，推动形成绿色生产生活方式，构建人与自然和谐共生的空间格局。</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r>
        <w:rPr>
          <w:rFonts w:hint="default" w:ascii="仿宋_GB2312" w:hAnsi="仿宋_GB2312" w:eastAsia="仿宋_GB2312" w:cs="仿宋_GB2312"/>
          <w:b/>
          <w:bCs/>
          <w:highlight w:val="none"/>
          <w:lang w:val="en-US" w:eastAsia="zh-CN"/>
        </w:rPr>
        <w:t>统筹规划，协调发展</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落实主体功能区战略，统筹划定生产、生活、生态空间和生态保护红线、永久基本农田、城镇开发边界三条控制线，推动区域协调、城乡融合发展。充分发挥“哈佳双同”辐射带的次中心优势，依托</w:t>
      </w:r>
      <w:r>
        <w:rPr>
          <w:rFonts w:hint="eastAsia" w:ascii="仿宋_GB2312" w:hAnsi="仿宋_GB2312" w:eastAsia="仿宋_GB2312" w:cs="仿宋_GB2312"/>
          <w:highlight w:val="none"/>
          <w:lang w:val="en-US" w:eastAsia="zh-CN"/>
        </w:rPr>
        <w:t>各类</w:t>
      </w:r>
      <w:r>
        <w:rPr>
          <w:rFonts w:hint="default" w:ascii="仿宋_GB2312" w:hAnsi="仿宋_GB2312" w:eastAsia="仿宋_GB2312" w:cs="仿宋_GB2312"/>
          <w:highlight w:val="none"/>
          <w:lang w:val="en-US" w:eastAsia="zh-CN"/>
        </w:rPr>
        <w:t>交通网络，</w:t>
      </w:r>
      <w:r>
        <w:rPr>
          <w:rFonts w:hint="eastAsia" w:ascii="仿宋_GB2312" w:hAnsi="仿宋_GB2312" w:eastAsia="仿宋_GB2312" w:cs="仿宋_GB2312"/>
          <w:highlight w:val="none"/>
          <w:lang w:val="en-US" w:eastAsia="zh-CN"/>
        </w:rPr>
        <w:t>加快推进与周边区域协同发展，区域共建、共享、共治，形成区域竞争新优势。</w:t>
      </w:r>
      <w:r>
        <w:rPr>
          <w:rFonts w:hint="default" w:ascii="仿宋_GB2312" w:hAnsi="仿宋_GB2312" w:eastAsia="仿宋_GB2312" w:cs="仿宋_GB2312"/>
          <w:highlight w:val="none"/>
          <w:lang w:val="en-US" w:eastAsia="zh-CN"/>
        </w:rPr>
        <w:t>绘制全域全要素的“一本规划、一张蓝图”，发挥国土空间规划对各专项规划的指导和约束作用。</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r>
        <w:rPr>
          <w:rFonts w:hint="default" w:ascii="仿宋_GB2312" w:hAnsi="仿宋_GB2312" w:eastAsia="仿宋_GB2312" w:cs="仿宋_GB2312"/>
          <w:b/>
          <w:bCs/>
          <w:highlight w:val="none"/>
          <w:lang w:val="en-US" w:eastAsia="zh-CN"/>
        </w:rPr>
        <w:t>以人为本，高质量发展</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坚持以人民为中心的发展思想，完善基础设施、公共服务设施、公共安全设施，增加优质生态空间供给，优化城乡功能布局和空间结构，提升基础设施和公共服务水平，促进城乡基本公共服务均等化。坚持民生福祉优先，防范自然灾害，改善人居环境，提高宜居水平。</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r>
        <w:rPr>
          <w:rFonts w:hint="default" w:ascii="仿宋_GB2312" w:hAnsi="仿宋_GB2312" w:eastAsia="仿宋_GB2312" w:cs="仿宋_GB2312"/>
          <w:b/>
          <w:bCs/>
          <w:highlight w:val="none"/>
          <w:lang w:val="en-US" w:eastAsia="zh-CN"/>
        </w:rPr>
        <w:t>因地制宜，突出特色</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立足</w:t>
      </w:r>
      <w:r>
        <w:rPr>
          <w:rFonts w:hint="eastAsia" w:ascii="仿宋_GB2312" w:hAnsi="仿宋_GB2312" w:eastAsia="仿宋_GB2312" w:cs="仿宋_GB2312"/>
          <w:highlight w:val="none"/>
          <w:lang w:val="en-US" w:eastAsia="zh-CN"/>
        </w:rPr>
        <w:t>县域</w:t>
      </w:r>
      <w:r>
        <w:rPr>
          <w:rFonts w:hint="default" w:ascii="仿宋_GB2312" w:hAnsi="仿宋_GB2312" w:eastAsia="仿宋_GB2312" w:cs="仿宋_GB2312"/>
          <w:highlight w:val="none"/>
          <w:lang w:val="en-US" w:eastAsia="zh-CN"/>
        </w:rPr>
        <w:t>实际，充分结合地理区位、历史文化、民俗风情等区域特点，坚持因地制宜、因时制宜，针对全域资源禀赋，提出差异化发展策略，进一步突出</w:t>
      </w:r>
      <w:r>
        <w:rPr>
          <w:rFonts w:hint="eastAsia" w:ascii="仿宋_GB2312" w:hAnsi="仿宋_GB2312" w:eastAsia="仿宋_GB2312" w:cs="仿宋_GB2312"/>
          <w:highlight w:val="none"/>
          <w:lang w:val="en-US" w:eastAsia="zh-CN"/>
        </w:rPr>
        <w:t>桦南</w:t>
      </w:r>
      <w:r>
        <w:rPr>
          <w:rFonts w:hint="default" w:ascii="仿宋_GB2312" w:hAnsi="仿宋_GB2312" w:eastAsia="仿宋_GB2312" w:cs="仿宋_GB2312"/>
          <w:highlight w:val="none"/>
          <w:lang w:val="en-US" w:eastAsia="zh-CN"/>
        </w:rPr>
        <w:t>特色，支撑</w:t>
      </w:r>
      <w:r>
        <w:rPr>
          <w:rFonts w:hint="eastAsia" w:ascii="仿宋_GB2312" w:hAnsi="仿宋_GB2312" w:eastAsia="仿宋_GB2312" w:cs="仿宋_GB2312"/>
          <w:highlight w:val="none"/>
          <w:lang w:val="en-US" w:eastAsia="zh-CN"/>
        </w:rPr>
        <w:t>桦南县</w:t>
      </w:r>
      <w:r>
        <w:rPr>
          <w:rFonts w:hint="default" w:ascii="仿宋_GB2312" w:hAnsi="仿宋_GB2312" w:eastAsia="仿宋_GB2312" w:cs="仿宋_GB2312"/>
          <w:highlight w:val="none"/>
          <w:lang w:val="en-US" w:eastAsia="zh-CN"/>
        </w:rPr>
        <w:t>可持续发展。</w:t>
      </w:r>
    </w:p>
    <w:p>
      <w:pPr>
        <w:pStyle w:val="4"/>
        <w:bidi w:val="0"/>
        <w:rPr>
          <w:rFonts w:hint="eastAsia" w:cs="Times New Roman"/>
          <w:highlight w:val="none"/>
          <w:lang w:val="en-US" w:eastAsia="zh-CN"/>
        </w:rPr>
      </w:pPr>
      <w:bookmarkStart w:id="6" w:name="_Toc4989"/>
      <w:r>
        <w:rPr>
          <w:rFonts w:hint="default" w:cs="Times New Roman"/>
          <w:highlight w:val="none"/>
          <w:lang w:val="en-US" w:eastAsia="zh-CN"/>
        </w:rPr>
        <w:t>第</w:t>
      </w:r>
      <w:r>
        <w:rPr>
          <w:rFonts w:hint="eastAsia" w:cs="Times New Roman"/>
          <w:highlight w:val="none"/>
          <w:lang w:val="en-US" w:eastAsia="zh-CN"/>
        </w:rPr>
        <w:t>四</w:t>
      </w:r>
      <w:r>
        <w:rPr>
          <w:rFonts w:hint="default" w:cs="Times New Roman"/>
          <w:highlight w:val="none"/>
          <w:lang w:val="en-US" w:eastAsia="zh-CN"/>
        </w:rPr>
        <w:t>节</w:t>
      </w:r>
      <w:r>
        <w:rPr>
          <w:rFonts w:hint="eastAsia" w:cs="Times New Roman"/>
          <w:highlight w:val="none"/>
          <w:lang w:val="en-US" w:eastAsia="zh-CN"/>
        </w:rPr>
        <w:t xml:space="preserve"> </w:t>
      </w:r>
      <w:r>
        <w:rPr>
          <w:rFonts w:hint="default" w:cs="Times New Roman"/>
          <w:highlight w:val="none"/>
          <w:lang w:val="en-US" w:eastAsia="zh-CN"/>
        </w:rPr>
        <w:t>规划范围</w:t>
      </w:r>
      <w:r>
        <w:rPr>
          <w:rFonts w:hint="eastAsia" w:cs="Times New Roman"/>
          <w:highlight w:val="none"/>
          <w:lang w:val="en-US" w:eastAsia="zh-CN"/>
        </w:rPr>
        <w:t>、</w:t>
      </w:r>
      <w:r>
        <w:rPr>
          <w:rFonts w:hint="default" w:cs="Times New Roman"/>
          <w:highlight w:val="none"/>
          <w:lang w:val="en-US" w:eastAsia="zh-CN"/>
        </w:rPr>
        <w:t>期限</w:t>
      </w:r>
      <w:bookmarkEnd w:id="6"/>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规划范围包括桦南县行政辖区内全部陆域国土空间，总面积共4417.97平方公里。规划期限为2021年至2035年，近期为2025年，远景展望至2050年。</w:t>
      </w:r>
    </w:p>
    <w:p>
      <w:pPr>
        <w:numPr>
          <w:ilvl w:val="0"/>
          <w:numId w:val="0"/>
        </w:numPr>
        <w:ind w:leftChars="0"/>
        <w:rPr>
          <w:rFonts w:ascii="宋体" w:hAnsi="宋体" w:eastAsia="宋体" w:cs="Times New Roman"/>
          <w:highlight w:val="red"/>
        </w:rPr>
      </w:pPr>
    </w:p>
    <w:p>
      <w:pPr>
        <w:pStyle w:val="3"/>
        <w:bidi w:val="0"/>
        <w:rPr>
          <w:rFonts w:hint="default" w:eastAsia="黑体"/>
          <w:highlight w:val="none"/>
          <w:lang w:val="en-US" w:eastAsia="zh-CN"/>
        </w:rPr>
      </w:pPr>
      <w:bookmarkStart w:id="7" w:name="_Toc23269"/>
      <w:r>
        <w:rPr>
          <w:rFonts w:hint="eastAsia"/>
          <w:highlight w:val="none"/>
        </w:rPr>
        <w:t>第</w:t>
      </w:r>
      <w:r>
        <w:rPr>
          <w:rFonts w:hint="eastAsia"/>
          <w:highlight w:val="none"/>
          <w:lang w:val="en-US" w:eastAsia="zh-CN"/>
        </w:rPr>
        <w:t>二</w:t>
      </w:r>
      <w:r>
        <w:rPr>
          <w:rFonts w:hint="eastAsia"/>
          <w:highlight w:val="none"/>
        </w:rPr>
        <w:t xml:space="preserve">章 </w:t>
      </w:r>
      <w:bookmarkEnd w:id="1"/>
      <w:r>
        <w:rPr>
          <w:rFonts w:hint="eastAsia"/>
          <w:highlight w:val="none"/>
          <w:lang w:val="en-US" w:eastAsia="zh-CN"/>
        </w:rPr>
        <w:t>基础分析与评价</w:t>
      </w:r>
      <w:bookmarkEnd w:id="7"/>
    </w:p>
    <w:p>
      <w:pPr>
        <w:pStyle w:val="4"/>
        <w:bidi w:val="0"/>
        <w:rPr>
          <w:rFonts w:hint="eastAsia" w:ascii="仿宋_GB2312" w:hAnsi="仿宋_GB2312" w:eastAsia="仿宋_GB2312" w:cs="仿宋_GB2312"/>
          <w:kern w:val="2"/>
          <w:sz w:val="32"/>
          <w:szCs w:val="40"/>
          <w:highlight w:val="none"/>
          <w:lang w:val="zh-CN" w:eastAsia="zh-CN" w:bidi="ar-SA"/>
        </w:rPr>
      </w:pPr>
      <w:bookmarkStart w:id="8" w:name="_Toc17188"/>
      <w:r>
        <w:rPr>
          <w:rFonts w:hint="eastAsia"/>
          <w:highlight w:val="none"/>
          <w:lang w:val="en-US" w:eastAsia="zh-CN"/>
        </w:rPr>
        <w:t>第一节 县域概况</w:t>
      </w:r>
      <w:bookmarkEnd w:id="8"/>
    </w:p>
    <w:p>
      <w:pPr>
        <w:bidi w:val="0"/>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en-US" w:eastAsia="zh-CN"/>
        </w:rPr>
        <w:t>桦南县位于黑龙江省东北部、佳木斯市南部、三江平原西南部，完达山西麓余脉的低山丘陵地带，地理坐标在之间。东与双鸭山市、宝清县毗邻，南与勃利县相邻，西与依兰县邻接，北与佳木斯市郊区、桦川县、集贤县接壤。桦南县东部、东北部群山环抱，境内七虎力河、八虎力河、来财河、松木河四大水系由东向西流经全县，汇入西南部界河倭肯河。</w:t>
      </w:r>
      <w:r>
        <w:rPr>
          <w:rFonts w:hint="eastAsia" w:ascii="仿宋_GB2312" w:hAnsi="仿宋_GB2312" w:eastAsia="仿宋_GB2312" w:cs="仿宋_GB2312"/>
          <w:highlight w:val="none"/>
          <w:lang w:val="zh-CN" w:eastAsia="zh-CN"/>
        </w:rPr>
        <w:t>自然资源得天独厚，属半山区农业县，素有“五山半水四分田，半分道路和庄园”之称。</w:t>
      </w:r>
    </w:p>
    <w:p>
      <w:pPr>
        <w:bidi w:val="0"/>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zh-CN" w:eastAsia="zh-CN"/>
        </w:rPr>
        <w:t>地缘区位优势突出，地处佳木斯、双鸭山、七台河、鹤岗、鸡西五地市“</w:t>
      </w:r>
      <w:r>
        <w:rPr>
          <w:rFonts w:hint="eastAsia" w:ascii="仿宋_GB2312" w:hAnsi="仿宋_GB2312" w:eastAsia="仿宋_GB2312" w:cs="仿宋_GB2312"/>
          <w:highlight w:val="none"/>
          <w:lang w:val="en-US" w:eastAsia="zh-CN"/>
        </w:rPr>
        <w:t>1.5小时</w:t>
      </w:r>
      <w:r>
        <w:rPr>
          <w:rFonts w:hint="eastAsia" w:ascii="仿宋_GB2312" w:hAnsi="仿宋_GB2312" w:eastAsia="仿宋_GB2312" w:cs="仿宋_GB2312"/>
          <w:highlight w:val="none"/>
          <w:lang w:val="zh-CN" w:eastAsia="zh-CN"/>
        </w:rPr>
        <w:t>经济圈”，辐射人口1200万。“</w:t>
      </w:r>
      <w:r>
        <w:rPr>
          <w:rFonts w:hint="eastAsia" w:ascii="仿宋_GB2312" w:hAnsi="仿宋_GB2312" w:eastAsia="仿宋_GB2312" w:cs="仿宋_GB2312"/>
          <w:highlight w:val="none"/>
          <w:lang w:val="en-US" w:eastAsia="zh-CN"/>
        </w:rPr>
        <w:t>2.5小时经济圈</w:t>
      </w:r>
      <w:r>
        <w:rPr>
          <w:rFonts w:hint="eastAsia" w:ascii="仿宋_GB2312" w:hAnsi="仿宋_GB2312" w:eastAsia="仿宋_GB2312" w:cs="仿宋_GB2312"/>
          <w:highlight w:val="none"/>
          <w:lang w:val="zh-CN" w:eastAsia="zh-CN"/>
        </w:rPr>
        <w:t>”更是涵盖牡丹江、伊春、哈尔滨，达到</w:t>
      </w:r>
      <w:r>
        <w:rPr>
          <w:rFonts w:hint="eastAsia" w:ascii="仿宋_GB2312" w:hAnsi="仿宋_GB2312" w:eastAsia="仿宋_GB2312" w:cs="仿宋_GB2312"/>
          <w:highlight w:val="none"/>
          <w:lang w:val="en-US" w:eastAsia="zh-CN"/>
        </w:rPr>
        <w:t>8个城市，辐射人口约2200万。牡佳铁路和鹤大公路穿境而过，以鹤大公路和依绕省路为十字骨架的四个公路网与桦阳铁路、森林铁路等地方铁路构成了便捷的平面交通网络；时速250公里的哈佳高铁、牡佳高铁正在建设中，建成后到达省会哈尔滨仅需1个多小时。</w:t>
      </w:r>
      <w:r>
        <w:rPr>
          <w:rFonts w:hint="eastAsia" w:ascii="仿宋_GB2312" w:hAnsi="仿宋_GB2312" w:eastAsia="仿宋_GB2312" w:cs="仿宋_GB2312"/>
          <w:highlight w:val="none"/>
          <w:lang w:val="zh-CN" w:eastAsia="zh-CN"/>
        </w:rPr>
        <w:t>铁路全长64公里，设专用线10条；公路204条，总里程1404.2公里，通乡通行政村公路硬化率达100%，城乡交通便捷，发展空间广阔。</w:t>
      </w:r>
    </w:p>
    <w:p>
      <w:pPr>
        <w:bidi w:val="0"/>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zh-CN" w:eastAsia="zh-CN"/>
        </w:rPr>
        <w:t>历史文化底蕴厚重，境内有横岱山古城堡、汉魏遗址群等文化遗迹，白金宝文化与滚兔岭文化相互交融。举世闻名的土龙山暴动成功打响了中国农民武装抗日第一枪。“一座七星峰，半部抗联史”，是东北抗日联军第八军和第十一军的诞生地。</w:t>
      </w:r>
    </w:p>
    <w:p>
      <w:pPr>
        <w:bidi w:val="0"/>
        <w:rPr>
          <w:rFonts w:hint="eastAsia" w:ascii="仿宋_GB2312" w:hAnsi="仿宋_GB2312" w:eastAsia="仿宋_GB2312" w:cs="仿宋_GB2312"/>
          <w:highlight w:val="none"/>
          <w:lang w:val="zh-CN" w:eastAsia="zh-CN"/>
        </w:rPr>
      </w:pPr>
      <w:r>
        <w:rPr>
          <w:rFonts w:hint="eastAsia" w:ascii="仿宋_GB2312" w:hAnsi="仿宋_GB2312" w:eastAsia="仿宋_GB2312" w:cs="仿宋_GB2312"/>
          <w:highlight w:val="none"/>
          <w:lang w:val="zh-CN" w:eastAsia="zh-CN"/>
        </w:rPr>
        <w:t>桦南县是全省12个革命老区县之一，1998年被确定为国家一类革命老区。桦南县先后荣获</w:t>
      </w:r>
      <w:r>
        <w:rPr>
          <w:rFonts w:hint="eastAsia" w:ascii="仿宋_GB2312" w:hAnsi="仿宋_GB2312" w:eastAsia="仿宋_GB2312" w:cs="仿宋_GB2312"/>
          <w:highlight w:val="none"/>
          <w:lang w:val="en-US" w:eastAsia="zh-CN"/>
        </w:rPr>
        <w:t>全国文明城市、</w:t>
      </w:r>
      <w:r>
        <w:rPr>
          <w:rFonts w:hint="eastAsia" w:ascii="仿宋_GB2312" w:hAnsi="仿宋_GB2312" w:eastAsia="仿宋_GB2312" w:cs="仿宋_GB2312"/>
          <w:highlight w:val="none"/>
          <w:lang w:val="zh-CN" w:eastAsia="zh-CN"/>
        </w:rPr>
        <w:t>国家商品粮基地县、粮食生产先进县、优质水稻基地县、绿色能源示范县、生态建设示范县、首批智慧城市试点县、农村劳动力转移就业示范县、法治县创建先进单位、林下经济示范基地县、土地经营权入股发展产业化经营改革试点县；省级文明城市、园林城市、县域经济发展质量效益优秀县、民营经济先进县、培育和践行社会主义核心价值观示范县、新农村建设先进县、扶贫开发先进单位、电子商务进农村示范县、农民工工作先进集体、平安县等多项荣誉，是中国南瓜之乡、中国白瓜籽之乡、中国紫苏之乡和中国皮草名城。</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桦南县辖7镇5乡、192个行政村、378个自然屯。2019年总人口411128人，其中城镇人口123757人，乡村人口287371 人。2019年地区生产总值1022816万元。其中，第一产业614336万元，占地区生产总值的60.06%；第二产业103008万元，占地区生产总值的10.07%，第三产业305472万元，占地区生产总值的29.87%。</w:t>
      </w:r>
    </w:p>
    <w:p>
      <w:pPr>
        <w:pStyle w:val="4"/>
        <w:bidi w:val="0"/>
        <w:rPr>
          <w:rFonts w:hint="eastAsia"/>
          <w:highlight w:val="none"/>
          <w:lang w:val="en-US" w:eastAsia="zh-CN"/>
        </w:rPr>
      </w:pPr>
      <w:bookmarkStart w:id="9" w:name="_Toc26036"/>
      <w:r>
        <w:rPr>
          <w:rFonts w:hint="eastAsia"/>
          <w:highlight w:val="none"/>
          <w:lang w:val="en-US" w:eastAsia="zh-CN"/>
        </w:rPr>
        <w:t>第二节 资源环境承载能力评价</w:t>
      </w:r>
      <w:bookmarkEnd w:id="9"/>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围绕生态保护、农业生产、城镇建设不同功能指向，开展土地资源、水资源、环境、生态、灾害等单要素评价 和集成评价，综合划分资源环境承载等级。总体上看，桦南县资源环境承载能力处于较低压力，但部分地区存在个别单因素的承载压力较大。</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态保护等级高的区域占比较低。生态保护高等级区,零散分布于各个乡镇，主要为七星湖省级森林公园、七星砬子东北虎国家级自然保护区、共和水库省级湿地公园、七星湖省级森林公园、国家一级公益林等，面积 6.56万公顷，占评价面积的1.47%;生态保护中等级区，主要分布在孟家岗镇和明义乡，区内有共和水库省级湿地公园、七星湖省级森林公园，面积0.47公顷，占评价面积的 0.61%;生态保护低等级区，主要分布在桦南林业局、驼腰子镇、大八浪乡、石头河子镇、孟家岗镇、金沙乡，区内有七星湖省级森林公园、七星砬子东北虎国家级自然保护区、国家一级公益林等，面积 6.05万公顷，占评价面积的13.7%。</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业生产承载能力总体较好。承载能力较好的区域主要分布在中西部平原区的农垦红兴隆管理局、土龙山镇、梨树乡，区内土地平坦，具备较好的水土资源，生态功能重要性较低，自然灾害危险较低，地块连片程度较好，面积9.07万公顷，占评价区域的20.5%;承载能力较差的区域受坡度、生态功能重要性的影响，主要分布在孟家岗镇和桦南林业局，面积15.36万公顷，占评价区域的34.7%。</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城镇建设承载能力相对较好。承载能力较好的区域主要分布在桦南镇，区内水土资源基础较好，环境承载能力较高，城镇建设条件优良，面积 2.89万公顷，占比6.5%;承载能力一般的区域主要分布在山区、丘陵区，面积21.56万公顷，占比48.8%。承载能力较差的区域主要集中在山区，面积 19.72万 公顷，占比 44.6%。</w:t>
      </w:r>
    </w:p>
    <w:p>
      <w:pPr>
        <w:pStyle w:val="4"/>
        <w:bidi w:val="0"/>
        <w:rPr>
          <w:rFonts w:hint="eastAsia"/>
          <w:highlight w:val="none"/>
          <w:lang w:val="en-US" w:eastAsia="zh-CN"/>
        </w:rPr>
      </w:pPr>
      <w:bookmarkStart w:id="10" w:name="_Toc26635"/>
      <w:r>
        <w:rPr>
          <w:rFonts w:hint="eastAsia"/>
          <w:highlight w:val="none"/>
          <w:lang w:val="en-US" w:eastAsia="zh-CN"/>
        </w:rPr>
        <w:t>第三节 国土空间开发适宜性评价</w:t>
      </w:r>
      <w:bookmarkEnd w:id="10"/>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生态保护、农业生产、城镇建设功能指向的资源环境承载能力集成评价结果为基础，综合考虑生态斑块集中度、地块连片度、城镇建设条件和城镇供水条件等因素，分别开展国土空间适宜性评价，确定相应的适宜区、一般适宜区和不适宜区。</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态保护适宜性评价。生态保护极重要保护区和重要保护区主要位于桦南县西北部山区，七星湖省级森林公园、七星砬子东北虎国家级自然保护区、共和水库省级湿地公园、七星湖省级森林公园、国家一级公益林等，面积 6.56万公顷，占总面积的14.64%;生态保护一般区主要位于桦南县中北部山区，面积为7.82万公顷，占总面积的 17.45%。</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业生产适宜性评价。农业生产适宜区主要分布于桦南县西部平原区，区内耕地自然质量较好，是桦南县农业生产条件最优越区域，大部分位于永久基本农田保护区中，面积17.48万公顷，占总面积39.57%;农业生产一般适宜区主要分布于中南部山前丘陵区，面积16.37万公顷，占总面积37.05%;受坡度、地块连片度对适宜程度造成的一定影响，不适宜农业开发区域主要分布在东部山区与现状城镇建成区，面积17.86万公顷，占总面积40.4%。</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建设适宜性评价。城镇建设适宜区主要位于桦南县中部，区内水土资源丰富，区位优势明显，交通网络发达，是城镇建设条件最优越的地区，面积1.04万公顷，约占总面积的2.3%;城镇建设一般适宜区主要位于中西部平原区，区内地势平坦，交通相对便捷，是城镇建设条件较好的地区，面积4501公顷，约占总面积的1.04%; 城镇建设不适宜区主要位于东部，区内地势较高，地形复杂，对外交通不畅，不利于城镇建设，面积5898.11公顷，约占总面积的1.26%。</w:t>
      </w:r>
    </w:p>
    <w:p>
      <w:pPr>
        <w:pStyle w:val="4"/>
        <w:bidi w:val="0"/>
        <w:rPr>
          <w:rFonts w:hint="eastAsia"/>
          <w:highlight w:val="none"/>
          <w:lang w:val="en-US" w:eastAsia="zh-CN"/>
        </w:rPr>
      </w:pPr>
      <w:bookmarkStart w:id="11" w:name="_Toc28453"/>
      <w:r>
        <w:rPr>
          <w:rFonts w:hint="eastAsia"/>
          <w:highlight w:val="none"/>
          <w:lang w:val="en-US" w:eastAsia="zh-CN"/>
        </w:rPr>
        <w:t>第四节 面临形势</w:t>
      </w:r>
      <w:bookmarkEnd w:id="11"/>
    </w:p>
    <w:p>
      <w:pPr>
        <w:bidi w:val="0"/>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桦南县地缘区位优势突出，是“龙江陆海丝绸之路”上的重要节点；自然资源得天独厚，位于世界仅存的三大黑土区之一，土地辽阔、地形多样、土质肥沃；历史文化底蕴厚重，产业集聚优势明显。近年来，县委、县政府加快推动经济结构战略性调整，加大主导产业培育发展步伐，不断深化改革开放，优化营商环境，努力提升城乡建设和民生福祉，全县经济社会持续健康发展，奠定了全面振兴全方位振兴的经济基础。但仍然存在县域经济总量不大，实体经济困难较多，缺乏立县支柱产业；财源建设滞后，保工资、保运转、保基本民生压力较大；乡村振兴步伐较慢，农村一二三产深度融合发展不够，人居环境有待改善；民生领域存在短板，一些群众关注关心的热点难点问题还没有彻底解决等一系列问题需要认真解决。</w:t>
      </w:r>
    </w:p>
    <w:p>
      <w:pPr>
        <w:bidi w:val="0"/>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全县发展处于并将长期处于重要战略机遇期的总体判断没有变，经济长期向好的基本面和大趋势没有变，必须统筹中华民族伟大复兴战略全局和世界百年未有之大变局，深刻认识新发展阶段、全面贯彻新发展理念、着力融入新发展格局，增强机遇意识和风险意识，准确识变、科学应变、主动求变，善于在危机中育先机、于变局中开新局，推动新旧动能转换，抓住机遇，应对挑战，趋利避害，奋勇前进，走出一条质量更高、效益更好、结构更优、优势充分释放的振兴发展新路。</w:t>
      </w:r>
    </w:p>
    <w:p>
      <w:pPr>
        <w:pStyle w:val="44"/>
        <w:ind w:left="808" w:firstLine="0" w:firstLineChars="0"/>
        <w:rPr>
          <w:rFonts w:ascii="仿宋" w:hAnsi="仿宋" w:eastAsia="仿宋"/>
          <w:b/>
          <w:color w:val="000000" w:themeColor="text1"/>
          <w:sz w:val="30"/>
          <w:szCs w:val="30"/>
          <w:highlight w:val="yellow"/>
          <w14:textFill>
            <w14:solidFill>
              <w14:schemeClr w14:val="tx1"/>
            </w14:solidFill>
          </w14:textFill>
        </w:rPr>
      </w:pPr>
    </w:p>
    <w:p>
      <w:pPr>
        <w:widowControl/>
        <w:jc w:val="left"/>
        <w:rPr>
          <w:rFonts w:ascii="黑体" w:hAnsi="Calibri" w:eastAsia="黑体" w:cs="黑体"/>
          <w:b/>
          <w:bCs/>
          <w:color w:val="000000" w:themeColor="text1"/>
          <w:kern w:val="44"/>
          <w:sz w:val="36"/>
          <w:szCs w:val="36"/>
          <w:highlight w:val="yellow"/>
          <w14:textFill>
            <w14:solidFill>
              <w14:schemeClr w14:val="tx1"/>
            </w14:solidFill>
          </w14:textFill>
        </w:rPr>
      </w:pPr>
      <w:r>
        <w:rPr>
          <w:rFonts w:ascii="黑体" w:eastAsia="黑体" w:cs="黑体"/>
          <w:color w:val="000000" w:themeColor="text1"/>
          <w:sz w:val="36"/>
          <w:szCs w:val="36"/>
          <w:highlight w:val="yellow"/>
          <w14:textFill>
            <w14:solidFill>
              <w14:schemeClr w14:val="tx1"/>
            </w14:solidFill>
          </w14:textFill>
        </w:rPr>
        <w:br w:type="page"/>
      </w:r>
    </w:p>
    <w:p>
      <w:pPr>
        <w:pStyle w:val="3"/>
        <w:bidi w:val="0"/>
        <w:rPr>
          <w:highlight w:val="none"/>
        </w:rPr>
      </w:pPr>
      <w:bookmarkStart w:id="12" w:name="_Toc2791"/>
      <w:r>
        <w:rPr>
          <w:rFonts w:hint="eastAsia"/>
          <w:highlight w:val="none"/>
        </w:rPr>
        <w:t>第三章 发展定位与目标</w:t>
      </w:r>
      <w:bookmarkEnd w:id="12"/>
    </w:p>
    <w:p>
      <w:pPr>
        <w:pStyle w:val="4"/>
        <w:bidi w:val="0"/>
        <w:rPr>
          <w:rFonts w:hint="eastAsia" w:cs="Times New Roman"/>
          <w:highlight w:val="none"/>
          <w:lang w:val="en-US" w:eastAsia="zh-CN"/>
        </w:rPr>
      </w:pPr>
      <w:bookmarkStart w:id="13" w:name="_Toc21025"/>
      <w:r>
        <w:rPr>
          <w:rFonts w:hint="eastAsia" w:cs="Times New Roman"/>
          <w:highlight w:val="none"/>
          <w:lang w:val="en-US" w:eastAsia="zh-CN"/>
        </w:rPr>
        <w:t>第一节 国省部属与区域发展目标</w:t>
      </w:r>
      <w:bookmarkEnd w:id="13"/>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落实部属</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（1）是贯彻党中央重大决策部署，坚定不移推进“多规合一”。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自然资源部将继续坚持党对规划工作的领导，按照确定目标，坚定不移推进和实施“多规合一”，形成“一本规划、一张蓝图”，建立统一的编制审批体系、实施监督体系、法规政策体系和技术标准体系，构建统一的基础信息平台，形成全国国土空间开发保护“一张图”，落实好《中共中央 国务院关于建立国土空间规划体系并监督实施的若干意见》各项部署，实现国土空间开发保护更高质量、更有效率、更加公平、更可持续。</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（2）是坚持科学编制，严格实施监督。</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落实新发展理念，坚持以人民为中心，促进高质量发展，在资源环境承载能力和国土空间开发适宜性评价的基础上，科学有序统筹布局生态、农业、城镇空间，划定生态保护红线、永久基本农田、城镇开发边界等管控边界，优化国土空间结构布局，保护生态屏障，开展生态保护和修复，完善基础设施和公共服务设施，延续历史文脉，突出地域特色。规划一经批复，就具有法律效力，任何部门和个人不得随意修改、违规变更，坚决防止出现换一届党委政府改一次规划的现象。坚持先规划、后实施，严禁违规建设；坚持按法定程序修改规划，严格审批。对国土空间规划编制实施过程中的违规违纪违法行为，要严肃追究责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（3）是坚持“放管服”改革，着力提高行政效率。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在规划审批中，要减少报国务院审批的城市数量，同时按照“管什么就批什么”原则，精简规划审批内容，重点从目标定位、底线约束、控制性指标、相邻关系等方面进行控制性审查，大幅压缩审批时间，提高行政效率；要结合“多规合一”，推进用地审批和规划许可“多审合一”“多证合一”，切实优化营商环境，体现“多规合一”改革效果。</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（4）是坚持上下联动、多方合作、久久为功，一张蓝图干到底。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《中共中央 国务院关于建立国土空间规划体系并监督实施的若干意见》的发布，标志着国土空间规划体系顶层设计和“四梁八柱”基本形成。建立一个全国统一、责权清晰、科学高效的国土空间规划体系是一项系统性工程，不可能一蹴而就，需要各地区各部门按照党中央、国务院部署，明确目标要求，落实主体责任，上下联动，形成合力，以钉钉子精神久久为功，一张蓝图干到底。</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区域发展目标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bookmarkStart w:id="14" w:name="_Toc67939112"/>
      <w:r>
        <w:rPr>
          <w:rFonts w:hint="eastAsia" w:ascii="仿宋_GB2312" w:hAnsi="仿宋_GB2312" w:eastAsia="仿宋_GB2312" w:cs="仿宋_GB2312"/>
          <w:highlight w:val="none"/>
          <w:lang w:val="en-US" w:eastAsia="zh-CN"/>
        </w:rPr>
        <w:t>保持经济快速发展势头，以工业发展为主导、巩固农业基础地位、积极发展第三产业。到规划期末，把桦南县建设成为综合经济实力显著增强，社会事业全面发展，人民生活全面步入小康，生态环境优良，城乡协调发展的健康城市。</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经济保持健康快速发展，经济增长的质量和效益明显提高。以工业新型化和县域城镇化带动经济发展，加快产业转型和城镇化进程，推进经济结构调整，扩大县域经济规模，提高城市综合实力，打造黑龙江省东北部经济发展重要增长极。</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期内，第二、第三产业快速发展，第一产业比重下降，到规划期末，形成以绿色食品精深加工、机械设备制造、新型建材和现代商贸业为主导，二、三产业并举共同驱动经济发展的格局，三次产业结构朝着高级化与合理化方向协调发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人为本，建设安全、健康、公平的和谐社会。形成以促进人的全面发展为核心的公共服务体系，建立健全完善、城乡均等的公共服务网络，大力发展城乡全覆盖的社会保障体系；逐步缩小城乡居民收入差距，保障社会收入分配公平，不断提高人民生活质量和水平；加快科技、教育、文化、卫生、体育事业发展，全民受教育程度稳步提升，不断提高城乡居民的思想道德素质、科学文化素质和健康素质，文化事业和文化产业快速发展；社会主义民主法制更加健全，人民权益得到切实保障；社会管理趋于完善，社会更加和谐稳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立完备、高效、稳定的城市基础设施系统，加快交通、通讯、电力、供热、燃气、水利和抗震减灾等基础设施建设，满足经济发展和人民生活水平提高的需要，为建设成国家生态园林城市，佳木斯地区区域性中心城市奠定坚实基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积极转变发展方式，走低碳发展道路。不断降低能耗，控制排放；节约利用水资源，集约利用土地，保护耕地和矿产资源；提高资源的循环利用水平。</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大力改善城乡环境，建构保障城乡持续发展的生态安全格局，保证桦南经济社会可持续发展。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进一步提高县域森林覆盖率和城镇绿化覆盖率；保证较好的空气环境质量和饮用水安全；提高城镇污水处理率和城镇垃圾无害化处理率；大力发展清洁能源。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到2025年实现环境质量的根本好转；到2035年使环境全面走上良性循环的轨道。</w:t>
      </w:r>
    </w:p>
    <w:p>
      <w:pPr>
        <w:pStyle w:val="4"/>
        <w:bidi w:val="0"/>
        <w:rPr>
          <w:rFonts w:hint="eastAsia" w:cs="Times New Roman"/>
          <w:highlight w:val="none"/>
          <w:lang w:val="en-US" w:eastAsia="zh-CN"/>
        </w:rPr>
      </w:pPr>
      <w:bookmarkStart w:id="15" w:name="_Toc25568"/>
      <w:r>
        <w:rPr>
          <w:rFonts w:hint="eastAsia" w:cs="Times New Roman"/>
          <w:highlight w:val="none"/>
          <w:lang w:val="en-US" w:eastAsia="zh-CN"/>
        </w:rPr>
        <w:t>第二节 城市定位</w:t>
      </w:r>
      <w:bookmarkEnd w:id="14"/>
      <w:bookmarkEnd w:id="1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城市性质</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全省重要的对俄出口基地</w:t>
      </w:r>
      <w:r>
        <w:rPr>
          <w:rFonts w:hint="eastAsia" w:ascii="仿宋_GB2312" w:hAnsi="仿宋_GB2312" w:eastAsia="仿宋_GB2312" w:cs="仿宋_GB2312"/>
          <w:highlight w:val="none"/>
          <w:lang w:val="en-US" w:eastAsia="zh-CN"/>
        </w:rPr>
        <w:t>，佳木斯市县域南部门户，以绿色食品精深加工、精细化工、 新能源、现代服务业为主，文旅康养为特色的生态文明城市。</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城市定位</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bookmarkStart w:id="16" w:name="_Toc67939113"/>
      <w:r>
        <w:rPr>
          <w:rFonts w:hint="eastAsia" w:ascii="仿宋_GB2312" w:hAnsi="仿宋_GB2312" w:eastAsia="仿宋_GB2312" w:cs="仿宋_GB2312"/>
          <w:b/>
          <w:bCs/>
          <w:highlight w:val="none"/>
          <w:lang w:val="en-US" w:eastAsia="zh-CN"/>
        </w:rPr>
        <w:t>全国农村三产融合发展示范区</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黑龙江省区域性商贸物流枢纽、区域创新驱动发展示范区和高质量发展先行区、绿色食品精深加工基地、绿色能源及装备制造基地、对俄出口基地；</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黑龙江省东部区域现代服务业集聚中心、现代农业科技先导区、产业转型升级示范区；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佳木斯市新兴副中心城市</w:t>
      </w:r>
      <w:r>
        <w:rPr>
          <w:rFonts w:hint="eastAsia" w:ascii="仿宋_GB2312" w:hAnsi="仿宋_GB2312" w:eastAsia="仿宋_GB2312" w:cs="仿宋_GB2312"/>
          <w:highlight w:val="none"/>
          <w:lang w:val="en-US" w:eastAsia="zh-CN"/>
        </w:rPr>
        <w:t>、城市功能区县域经济龙头、生态绿色一体化发展示范区；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全域生态、安全、宜居、智慧、健康、人文的新时代文明实践城市。</w:t>
      </w:r>
    </w:p>
    <w:p>
      <w:pPr>
        <w:pStyle w:val="4"/>
        <w:bidi w:val="0"/>
        <w:rPr>
          <w:rFonts w:hint="eastAsia" w:cs="Times New Roman"/>
          <w:highlight w:val="none"/>
          <w:lang w:val="en-US" w:eastAsia="zh-CN"/>
        </w:rPr>
      </w:pPr>
      <w:bookmarkStart w:id="17" w:name="_Toc5004"/>
      <w:r>
        <w:rPr>
          <w:rFonts w:hint="eastAsia" w:cs="Times New Roman"/>
          <w:highlight w:val="none"/>
          <w:lang w:val="en-US" w:eastAsia="zh-CN"/>
        </w:rPr>
        <w:t>第三节 国土空间发展目标</w:t>
      </w:r>
      <w:bookmarkEnd w:id="16"/>
      <w:bookmarkEnd w:id="17"/>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bookmarkStart w:id="18" w:name="_Toc67939114"/>
      <w:r>
        <w:rPr>
          <w:rFonts w:hint="eastAsia" w:ascii="仿宋_GB2312" w:hAnsi="仿宋_GB2312" w:eastAsia="仿宋_GB2312" w:cs="仿宋_GB2312"/>
          <w:highlight w:val="none"/>
          <w:lang w:val="en-US" w:eastAsia="zh-CN"/>
        </w:rPr>
        <w:t>规划期内进一步优化空间开发格局，严格控制国土开发强度，提高资源利用效率和效益，促进经济转型升级，提升人民生活水平，努力实现生产空间集约高效、生活空间宜居适度、生态空间山清水秀。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国土空间布局进一步优化</w:t>
      </w:r>
      <w:r>
        <w:rPr>
          <w:rFonts w:hint="eastAsia" w:ascii="仿宋_GB2312" w:hAnsi="仿宋_GB2312" w:eastAsia="仿宋_GB2312" w:cs="仿宋_GB2312"/>
          <w:highlight w:val="none"/>
          <w:lang w:val="en-US" w:eastAsia="zh-CN"/>
        </w:rPr>
        <w:t>。立足自然本底条件,统筹生态、农业、历史文化等重要保护区域和廊道，分析确定城镇、产业发展轴带和重要节点，合理安排国土空间用地布局，构建生态、农业、城镇全域覆盖的国土空间格局。到2035年，国土开发强度控制有序,生态保护红线、永久基本农田保护面积和耕地保有量保持稳定。各类空间用地矛盾得到有效缓解，实现经济发展与资源环境承载能力相协调，适度有序的空间格局体系基本形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人民生活水平进一步提高</w:t>
      </w:r>
      <w:r>
        <w:rPr>
          <w:rFonts w:hint="eastAsia" w:ascii="仿宋_GB2312" w:hAnsi="仿宋_GB2312" w:eastAsia="仿宋_GB2312" w:cs="仿宋_GB2312"/>
          <w:highlight w:val="none"/>
          <w:lang w:val="en-US" w:eastAsia="zh-CN"/>
        </w:rPr>
        <w:t>。形成以创新为主要支撑的经济体系和发展模式，对周边地区的引领带动能力进一步提升，绿色智慧节能低碳的生产生活方式和城市建设运营模式确立，社会文明程度达到新高度，文化软实力显著增强，中华文化影响更加广泛深入，多元文化进一步交流融合。到2035年，全县人民生活更加富裕，全面创建国家级六城：即崇德向善、博文明礼、至诚高节的文明典范之城；整洁优美、康乐宜养、身心通泰的健康卫生之城；山清水秀、风光旖旎、景明人和的生态园林之城；社会稳定、治理有效、人民喜乐的和谐平安之城；饮食放心、用药安全、人民满意的食品安全之城；军地共建、军民融合、鱼水情深的双拥模范之城。</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区域城乡协调发展能力显著增强</w:t>
      </w:r>
      <w:r>
        <w:rPr>
          <w:rFonts w:hint="eastAsia" w:ascii="仿宋_GB2312" w:hAnsi="仿宋_GB2312" w:eastAsia="仿宋_GB2312" w:cs="仿宋_GB2312"/>
          <w:highlight w:val="none"/>
          <w:lang w:val="en-US" w:eastAsia="zh-CN"/>
        </w:rPr>
        <w:t>。健全与周边城市之间的合作机制，强化城际联系和协作，打造发展支撑点。统筹县域发展，兼顾效率与公平，统筹配置国土空间和公共资源，全面实施乡村振兴战略，加快推进城乡一体化发展。到2035年，以人为本的城新型镇化和乡村振兴战略基本实现，区域城乡发展差距和居民生活水平差距显著缩小，城乡一体化水平走在全省前列。</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资源节约集约利用水平明显提高</w:t>
      </w:r>
      <w:r>
        <w:rPr>
          <w:rFonts w:hint="eastAsia" w:ascii="仿宋_GB2312" w:hAnsi="仿宋_GB2312" w:eastAsia="仿宋_GB2312" w:cs="仿宋_GB2312"/>
          <w:highlight w:val="none"/>
          <w:lang w:val="en-US" w:eastAsia="zh-CN"/>
        </w:rPr>
        <w:t>。统筹推进国土综合整治，提高土地、水、生态、矿产等资源的利用效率，走集约发展道路。合理配置用地指标，严格控制建设用地增量，盘活存量用地和空间，加强农业基础设施建设，提升农业现代化，促进产业转型发展，缓解建设用地压力，促进生产空间集约高效、生活空间宜居适度、生态空间山清水秀，提高空间利用效率。到2035年，空间利用效率进一步提高，经济发展与资源环境承载能力相协调，集约、绿色、低碳、循环的资源利用体系基本建成，资源集约利用水平进一步提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生态环境质量进一步改善</w:t>
      </w:r>
      <w:r>
        <w:rPr>
          <w:rFonts w:hint="eastAsia" w:ascii="仿宋_GB2312" w:hAnsi="仿宋_GB2312" w:eastAsia="仿宋_GB2312" w:cs="仿宋_GB2312"/>
          <w:highlight w:val="none"/>
          <w:lang w:val="en-US" w:eastAsia="zh-CN"/>
        </w:rPr>
        <w:t>。现代化生态体系基本建成,森林面积逐步扩大，森林生态功能明显增强。主要污染物排放总量持续减少，节能减排取得显著成效，田园综合体建设初具成效，基本农田质量进一步提高，农业空间与城镇空间的生态功能大幅度提升。到2035年，大气污染、土壤污染、水污染和矿山环境恢复基本完成治理，生态环境根本好转，生物多样性得到切实保护，迈向生态文明建设新时代。</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到2050年，全县经济实力和综合竞争力大幅提升，共同富裕基本实现，国土空间开发保护更加科学有序，人与自然更加和谐，人民将享有更加幸福安康的生活。</w:t>
      </w:r>
    </w:p>
    <w:p>
      <w:pPr>
        <w:rPr>
          <w:rFonts w:hint="eastAsia"/>
          <w:bCs/>
          <w:kern w:val="44"/>
          <w:sz w:val="28"/>
          <w:szCs w:val="28"/>
          <w:highlight w:val="yellow"/>
        </w:rPr>
      </w:pPr>
      <w:r>
        <w:rPr>
          <w:rFonts w:hint="eastAsia"/>
          <w:bCs/>
          <w:kern w:val="44"/>
          <w:sz w:val="28"/>
          <w:szCs w:val="28"/>
          <w:highlight w:val="yellow"/>
        </w:rPr>
        <w:br w:type="page"/>
      </w:r>
    </w:p>
    <w:p>
      <w:pPr>
        <w:pStyle w:val="4"/>
        <w:bidi w:val="0"/>
        <w:rPr>
          <w:rFonts w:hint="eastAsia" w:cs="Times New Roman"/>
          <w:highlight w:val="none"/>
          <w:lang w:val="en-US" w:eastAsia="zh-CN"/>
        </w:rPr>
      </w:pPr>
      <w:bookmarkStart w:id="19" w:name="_Toc17470"/>
      <w:r>
        <w:rPr>
          <w:rFonts w:hint="eastAsia" w:cs="Times New Roman"/>
          <w:highlight w:val="none"/>
          <w:lang w:val="en-US" w:eastAsia="zh-CN"/>
        </w:rPr>
        <w:t>第四节 国土空间开发保护战略</w:t>
      </w:r>
      <w:bookmarkEnd w:id="18"/>
      <w:bookmarkEnd w:id="19"/>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default" w:ascii="仿宋_GB2312" w:hAnsi="仿宋_GB2312" w:eastAsia="仿宋_GB2312" w:cs="仿宋_GB2312"/>
          <w:b/>
          <w:bCs/>
          <w:highlight w:val="none"/>
          <w:lang w:val="en-US" w:eastAsia="zh-CN"/>
        </w:rPr>
        <w:t>生态优先发展战略</w:t>
      </w:r>
    </w:p>
    <w:p>
      <w:pPr>
        <w:keepNext w:val="0"/>
        <w:keepLines w:val="0"/>
        <w:pageBreakBefore w:val="0"/>
        <w:widowControl w:val="0"/>
        <w:kinsoku/>
        <w:wordWrap/>
        <w:overflowPunct w:val="0"/>
        <w:topLinePunct w:val="0"/>
        <w:autoSpaceDE/>
        <w:autoSpaceDN/>
        <w:bidi w:val="0"/>
        <w:adjustRightInd/>
        <w:snapToGrid/>
        <w:textAlignment w:val="auto"/>
        <w:rPr>
          <w:rFonts w:hint="eastAsia" w:ascii="黑体" w:eastAsia="黑体" w:cs="黑体"/>
          <w:color w:val="000000" w:themeColor="text1"/>
          <w:sz w:val="36"/>
          <w:szCs w:val="36"/>
          <w:highlight w:val="red"/>
          <w14:textFill>
            <w14:solidFill>
              <w14:schemeClr w14:val="tx1"/>
            </w14:solidFill>
          </w14:textFill>
        </w:rPr>
      </w:pPr>
      <w:r>
        <w:rPr>
          <w:rFonts w:hint="eastAsia" w:ascii="仿宋_GB2312" w:hAnsi="仿宋_GB2312" w:eastAsia="仿宋_GB2312" w:cs="仿宋_GB2312"/>
          <w:highlight w:val="none"/>
          <w:lang w:val="en-US" w:eastAsia="zh-CN"/>
        </w:rPr>
        <w:t>严守生态保护红线和永久基本农田，严格保护重要水源涵养、生物多样性维护、水土保持等生态功能极重要区域；保障国家粮食安全和重要农产品供给，保障农业空间提质增效。加强国土空间整体保护、系统修复与综合治理，统筹“山水林田湖”生态系统修复，以“屏障+廊道”为主体串联生态板块，构建生态环境协同治理机制。</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增效融合战略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构建高效一体化综合交通网络，落实上位规划交通网及高速路网，充分发挥“哈佳双同”辐射带的次中心优势，依托牡佳铁路、鹤大公路和依饶公路等交通网络，利用佳市江海联运、陆港联运、铁港联运、空港联运等四大联运通道，积极融入佳木斯、双鸭山等五地市“一个半小时”经济圈和哈尔滨“两小时”经济圈，坚持以发展大商贸、大市场、大流通为方向，以增强服务业竞争力为核心，加快建立现代化服务体系，努力提高服务业市场化、产业化、社会化水平，加快建设辐射全省东部地区的物流基地、商贸基地、消费基地，推动生活性服务业向高品质和多样化升级，生产性服务业向专业化和价值链高端延伸，培育一批具有较强市场竞争力的桦南服务品牌。</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品质塑造战略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挖掘山水文化特色，努力打造“看得见山、望得见水，记得住乡愁” 的旅游线路，紧紧围绕“三江地区最完善的旅游首选目的地”目标，打造“八个三江第一”旅游文化品牌，包括以森林蒸汽小火车为核心，打造“三江第一特色小火车”品牌；以致中大街、土龙山农民抗日武装暴动纪念馆、侵华日军飞机堡遗址公园和抗联圣地七星峰为核心，打造“三江第一红色旅游基地”品牌；以桦南中国关药基地为核心，打造“三江第一关药基地特色小镇”品牌；以明义花山旅游风景区为核心，打造“三江第一野生金达莱花海”品牌；以龙兴生态园、森工特色大院、森工省级农业科技园为核心，打造“三江第一乡村综合旅游基地”品牌；以向阳湖旅游风景区为核心，打造“三江第一湖”品牌；以七星峰国家森林公园旅游风景区为核心，打造“三江第一峰”品牌；以孟家岗人工林旅游风景区为核心，打造“三江第一林”品牌。为各地游客提供回归自然、纵情山水的好去处。构建 15 分钟高品质生活圈，推进服务设施全覆盖，强化各镇乡片区的配套服务，建立覆盖均等化公共服务体系。</w:t>
      </w:r>
    </w:p>
    <w:p>
      <w:pPr>
        <w:bidi w:val="0"/>
        <w:rPr>
          <w:rFonts w:hint="default" w:ascii="仿宋_GB2312" w:hAnsi="仿宋_GB2312" w:eastAsia="仿宋_GB2312" w:cs="仿宋_GB2312"/>
          <w:highlight w:val="none"/>
          <w:lang w:val="zh-CN" w:eastAsia="zh-CN"/>
        </w:rPr>
      </w:pPr>
    </w:p>
    <w:p>
      <w:pPr>
        <w:bidi w:val="0"/>
      </w:pPr>
    </w:p>
    <w:p>
      <w:pPr>
        <w:pStyle w:val="3"/>
        <w:bidi w:val="0"/>
        <w:rPr>
          <w:rFonts w:hint="eastAsia"/>
          <w:highlight w:val="none"/>
        </w:rPr>
      </w:pPr>
      <w:bookmarkStart w:id="20" w:name="_Toc26551"/>
      <w:r>
        <w:rPr>
          <w:rFonts w:hint="eastAsia"/>
          <w:highlight w:val="none"/>
        </w:rPr>
        <w:t>第四章 国土空间格局</w:t>
      </w:r>
      <w:bookmarkEnd w:id="20"/>
    </w:p>
    <w:p>
      <w:pPr>
        <w:pStyle w:val="4"/>
        <w:bidi w:val="0"/>
        <w:rPr>
          <w:rFonts w:hint="eastAsia" w:cs="Times New Roman"/>
          <w:highlight w:val="none"/>
          <w:lang w:val="en-US" w:eastAsia="zh-CN"/>
        </w:rPr>
      </w:pPr>
      <w:bookmarkStart w:id="21" w:name="_Toc16013"/>
      <w:r>
        <w:rPr>
          <w:rFonts w:hint="eastAsia" w:cs="Times New Roman"/>
          <w:highlight w:val="none"/>
          <w:lang w:val="en-US" w:eastAsia="zh-CN"/>
        </w:rPr>
        <w:t>第一节 区域协同发展</w:t>
      </w:r>
      <w:bookmarkEnd w:id="21"/>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强与佳木斯、七台河、双鸭山等区域性中心城市的经济、社会联系，参与区域竞争与合作。依托佳木斯南部门户的地理区位，发挥内引外联和北靠南延的技术流通、市场流通和资金流通的潜在优势，把得天独厚的区位条件转化为经济发展的重要优势。在承接产业及物资过境、延伸加工上实现优势互补，合作共赢的良性发展局面。</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建立与周边城镇紧密便捷的交通联系，共享区域交通优势；与周边城镇形成互补、共生的产业协作关系，避免无序同构竞争风险，高效利用资源；与周边城镇建立区域生态建设协作关系，确保生态环境安全。</w:t>
      </w:r>
    </w:p>
    <w:p>
      <w:pPr>
        <w:keepNext w:val="0"/>
        <w:keepLines w:val="0"/>
        <w:pageBreakBefore w:val="0"/>
        <w:widowControl w:val="0"/>
        <w:kinsoku/>
        <w:wordWrap/>
        <w:overflowPunct w:val="0"/>
        <w:topLinePunct w:val="0"/>
        <w:autoSpaceDE/>
        <w:autoSpaceDN/>
        <w:bidi w:val="0"/>
        <w:adjustRightInd/>
        <w:snapToGrid/>
        <w:textAlignment w:val="auto"/>
        <w:rPr>
          <w:rFonts w:hint="eastAsia"/>
          <w:lang w:val="en-US" w:eastAsia="zh-CN"/>
        </w:rPr>
      </w:pPr>
      <w:r>
        <w:rPr>
          <w:rFonts w:hint="eastAsia" w:ascii="仿宋_GB2312" w:hAnsi="仿宋_GB2312" w:eastAsia="仿宋_GB2312" w:cs="仿宋_GB2312"/>
          <w:highlight w:val="none"/>
          <w:lang w:val="en-US" w:eastAsia="zh-CN"/>
        </w:rPr>
        <w:t>加快区域融合发展，推进与桦南林业局有限公司在旅游资源开发、产业互补上的共建共享，与黑龙江北大荒集团曙光农场有限公司在农机作业、经开区发展上深入合作。依托森工林业局丰富森林资源优势，大力实施林业项目建设拉动经济转型战略，建设发展具有可持续性经营的林地林下产业项目，打造农林旅游深度融合走廊。依托曙光农场在标准化生产、社会化服务，以及物质装备、生产技术、经营体系等方面优势，加快秸秆还田、种养结合等领域的先进经验复制推广，引导支持曙光农场和有条件的乡镇开展对接合作，巩固完善利益联结机制，激发区域一体化经济增长活力。坚持一体化发展、差异化定位，研究制定区域协调发展长期规划，加快形成高质量发展的区域经济布局，积极融入“黑龙江东部城市群”，加强与东部城市群内资源型城市的互补合作，主动承接产业转移，积极开展产业协作，推进区域内规划衔接、基础设施联通、公共资源共享，实现与区域重点城市之间的互联互通、资源共享、优势互补、经贸流通、协调发展。</w:t>
      </w:r>
    </w:p>
    <w:p>
      <w:pPr>
        <w:pStyle w:val="4"/>
        <w:bidi w:val="0"/>
        <w:rPr>
          <w:rFonts w:hint="eastAsia"/>
          <w:highlight w:val="none"/>
          <w:lang w:eastAsia="zh-CN"/>
        </w:rPr>
      </w:pPr>
      <w:bookmarkStart w:id="22" w:name="_Toc4216"/>
      <w:r>
        <w:rPr>
          <w:rFonts w:hint="eastAsia"/>
          <w:highlight w:val="none"/>
        </w:rPr>
        <w:t>第</w:t>
      </w:r>
      <w:r>
        <w:rPr>
          <w:rFonts w:hint="eastAsia"/>
          <w:highlight w:val="none"/>
          <w:lang w:val="en-US" w:eastAsia="zh-CN"/>
        </w:rPr>
        <w:t>二</w:t>
      </w:r>
      <w:r>
        <w:rPr>
          <w:rFonts w:hint="eastAsia"/>
          <w:highlight w:val="none"/>
        </w:rPr>
        <w:t>节 统筹划定三区三线</w:t>
      </w:r>
      <w:bookmarkEnd w:id="22"/>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zh-TW" w:eastAsia="zh-CN"/>
        </w:rPr>
      </w:pPr>
      <w:r>
        <w:rPr>
          <w:rFonts w:hint="eastAsia" w:ascii="仿宋_GB2312" w:hAnsi="仿宋_GB2312" w:eastAsia="仿宋_GB2312" w:cs="仿宋_GB2312"/>
          <w:b/>
          <w:bCs/>
          <w:highlight w:val="none"/>
          <w:lang w:val="zh-TW" w:eastAsia="zh-TW"/>
        </w:rPr>
        <w:t>统筹划定城镇、农业、生态三类空间。</w:t>
      </w:r>
      <w:r>
        <w:rPr>
          <w:rFonts w:hint="eastAsia" w:ascii="仿宋_GB2312" w:hAnsi="仿宋_GB2312" w:eastAsia="仿宋_GB2312" w:cs="仿宋_GB2312"/>
          <w:highlight w:val="none"/>
          <w:lang w:val="zh-TW" w:eastAsia="zh-TW"/>
        </w:rPr>
        <w:t>依据</w:t>
      </w:r>
      <w:r>
        <w:rPr>
          <w:rFonts w:hint="eastAsia" w:ascii="仿宋_GB2312" w:hAnsi="仿宋_GB2312" w:eastAsia="仿宋_GB2312" w:cs="仿宋_GB2312"/>
          <w:highlight w:val="none"/>
          <w:lang w:val="zh-TW" w:eastAsia="zh-CN"/>
        </w:rPr>
        <w:t>桦南县</w:t>
      </w:r>
      <w:r>
        <w:rPr>
          <w:rFonts w:hint="eastAsia" w:ascii="仿宋_GB2312" w:hAnsi="仿宋_GB2312" w:eastAsia="仿宋_GB2312" w:cs="仿宋_GB2312"/>
          <w:highlight w:val="none"/>
          <w:lang w:val="zh-TW" w:eastAsia="zh-TW"/>
        </w:rPr>
        <w:t>资源环境承载能力和国土空间开发适宜性评价结果，结合人口发展和流动趋势、经济社会发展战略和目标预期等，科学划定</w:t>
      </w:r>
      <w:r>
        <w:rPr>
          <w:rFonts w:hint="eastAsia" w:ascii="仿宋_GB2312" w:hAnsi="仿宋_GB2312" w:eastAsia="仿宋_GB2312" w:cs="仿宋_GB2312"/>
          <w:highlight w:val="none"/>
          <w:lang w:val="zh-CN" w:eastAsia="zh-CN"/>
        </w:rPr>
        <w:t>“三</w:t>
      </w:r>
      <w:r>
        <w:rPr>
          <w:rFonts w:hint="eastAsia" w:ascii="仿宋_GB2312" w:hAnsi="仿宋_GB2312" w:eastAsia="仿宋_GB2312" w:cs="仿宋_GB2312"/>
          <w:highlight w:val="none"/>
          <w:lang w:val="zh-TW" w:eastAsia="zh-TW"/>
        </w:rPr>
        <w:t>区三线</w:t>
      </w:r>
      <w:r>
        <w:rPr>
          <w:rFonts w:hint="eastAsia" w:ascii="仿宋_GB2312" w:hAnsi="仿宋_GB2312" w:eastAsia="仿宋_GB2312" w:cs="仿宋_GB2312"/>
          <w:highlight w:val="none"/>
          <w:lang w:val="zh-CN" w:eastAsia="zh-CN"/>
        </w:rPr>
        <w:t>”。到2035</w:t>
      </w:r>
      <w:r>
        <w:rPr>
          <w:rFonts w:hint="eastAsia" w:ascii="仿宋_GB2312" w:hAnsi="仿宋_GB2312" w:eastAsia="仿宋_GB2312" w:cs="仿宋_GB2312"/>
          <w:highlight w:val="none"/>
          <w:lang w:val="zh-TW" w:eastAsia="zh-TW"/>
        </w:rPr>
        <w:t>年,</w:t>
      </w:r>
      <w:r>
        <w:rPr>
          <w:rFonts w:hint="eastAsia" w:ascii="仿宋_GB2312" w:hAnsi="仿宋_GB2312" w:eastAsia="仿宋_GB2312" w:cs="仿宋_GB2312"/>
          <w:highlight w:val="none"/>
          <w:lang w:val="zh-TW" w:eastAsia="zh-CN"/>
        </w:rPr>
        <w:t>桦南县</w:t>
      </w:r>
      <w:r>
        <w:rPr>
          <w:rFonts w:hint="eastAsia" w:ascii="仿宋_GB2312" w:hAnsi="仿宋_GB2312" w:eastAsia="仿宋_GB2312" w:cs="仿宋_GB2312"/>
          <w:highlight w:val="none"/>
          <w:lang w:val="zh-TW" w:eastAsia="zh-TW"/>
        </w:rPr>
        <w:t>总体开发强度控制在</w:t>
      </w:r>
      <w:r>
        <w:rPr>
          <w:rFonts w:hint="eastAsia" w:ascii="仿宋_GB2312" w:hAnsi="仿宋_GB2312" w:eastAsia="仿宋_GB2312" w:cs="仿宋_GB2312"/>
          <w:highlight w:val="none"/>
          <w:lang w:val="en-US" w:eastAsia="zh-CN"/>
        </w:rPr>
        <w:t>xx</w:t>
      </w:r>
      <w:r>
        <w:rPr>
          <w:rFonts w:hint="eastAsia" w:ascii="仿宋_GB2312" w:hAnsi="仿宋_GB2312" w:eastAsia="仿宋_GB2312" w:cs="仿宋_GB2312"/>
          <w:highlight w:val="none"/>
          <w:lang w:val="zh-TW" w:eastAsia="zh-TW"/>
        </w:rPr>
        <w:t>%,城镇空间、农业空间、生态空间占区域国土空间的比重分别为xx%、xx%、xx%</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highlight w:val="none"/>
          <w:lang w:val="zh-TW" w:eastAsia="zh-TW"/>
        </w:rPr>
        <w:t>科学划定生态保护红线。</w:t>
      </w:r>
      <w:r>
        <w:rPr>
          <w:rFonts w:hint="eastAsia" w:ascii="仿宋_GB2312" w:hAnsi="仿宋_GB2312" w:eastAsia="仿宋_GB2312" w:cs="仿宋_GB2312"/>
          <w:b w:val="0"/>
          <w:bCs w:val="0"/>
          <w:highlight w:val="none"/>
          <w:lang w:val="zh-TW" w:eastAsia="zh-TW"/>
        </w:rPr>
        <w:t>综合考虑</w:t>
      </w:r>
      <w:r>
        <w:rPr>
          <w:rFonts w:hint="eastAsia" w:ascii="仿宋_GB2312" w:hAnsi="仿宋_GB2312" w:eastAsia="仿宋_GB2312" w:cs="仿宋_GB2312"/>
          <w:b w:val="0"/>
          <w:bCs w:val="0"/>
          <w:highlight w:val="none"/>
          <w:lang w:val="zh-TW" w:eastAsia="zh-CN"/>
        </w:rPr>
        <w:t>桦南县</w:t>
      </w:r>
      <w:r>
        <w:rPr>
          <w:rFonts w:hint="eastAsia" w:ascii="仿宋_GB2312" w:hAnsi="仿宋_GB2312" w:eastAsia="仿宋_GB2312" w:cs="仿宋_GB2312"/>
          <w:b w:val="0"/>
          <w:bCs w:val="0"/>
          <w:highlight w:val="none"/>
          <w:lang w:val="zh-TW" w:eastAsia="zh-TW"/>
        </w:rPr>
        <w:t>生态条件、环境状况和发展布局等因素，协调生态环境保护与城乡开发建设之间的关系，将黑龙江佳木斯七星湖省级森林公园</w:t>
      </w:r>
      <w:r>
        <w:rPr>
          <w:rFonts w:hint="eastAsia" w:ascii="仿宋_GB2312" w:hAnsi="仿宋_GB2312" w:eastAsia="仿宋_GB2312" w:cs="仿宋_GB2312"/>
          <w:b w:val="0"/>
          <w:bCs w:val="0"/>
          <w:highlight w:val="none"/>
          <w:lang w:val="zh-TW" w:eastAsia="zh-CN"/>
        </w:rPr>
        <w:t>、黑龙江七星砬子东北虎国家级自然保护区、黑龙江佳木斯共和水库省级湿地公园</w:t>
      </w:r>
      <w:r>
        <w:rPr>
          <w:rFonts w:hint="eastAsia" w:ascii="仿宋_GB2312" w:hAnsi="仿宋_GB2312" w:eastAsia="仿宋_GB2312" w:cs="仿宋_GB2312"/>
          <w:b w:val="0"/>
          <w:bCs w:val="0"/>
          <w:highlight w:val="none"/>
          <w:lang w:val="en-US" w:eastAsia="zh-CN"/>
        </w:rPr>
        <w:t>等</w:t>
      </w:r>
      <w:r>
        <w:rPr>
          <w:rFonts w:hint="eastAsia" w:ascii="仿宋_GB2312" w:hAnsi="仿宋_GB2312" w:eastAsia="仿宋_GB2312" w:cs="仿宋_GB2312"/>
          <w:b w:val="0"/>
          <w:bCs w:val="0"/>
          <w:highlight w:val="none"/>
          <w:lang w:val="zh-TW" w:eastAsia="zh-TW"/>
        </w:rPr>
        <w:t>划入生态保护红线。生态红线集中分布于</w:t>
      </w:r>
      <w:r>
        <w:rPr>
          <w:rFonts w:hint="eastAsia" w:ascii="仿宋_GB2312" w:hAnsi="仿宋_GB2312" w:eastAsia="仿宋_GB2312" w:cs="仿宋_GB2312"/>
          <w:b w:val="0"/>
          <w:bCs w:val="0"/>
          <w:highlight w:val="none"/>
          <w:lang w:val="en-US" w:eastAsia="zh-CN"/>
        </w:rPr>
        <w:t>桦南县东北部</w:t>
      </w:r>
      <w:r>
        <w:rPr>
          <w:rFonts w:hint="eastAsia" w:ascii="仿宋_GB2312" w:hAnsi="仿宋_GB2312" w:eastAsia="仿宋_GB2312" w:cs="仿宋_GB2312"/>
          <w:b w:val="0"/>
          <w:bCs w:val="0"/>
          <w:highlight w:val="none"/>
          <w:lang w:val="zh-TW" w:eastAsia="zh-TW"/>
        </w:rPr>
        <w:t>，山城区东部有少量分布，共计面积xx公顷公顷。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b w:val="0"/>
          <w:bCs w:val="0"/>
          <w:highlight w:val="none"/>
          <w:lang w:val="zh-TW" w:eastAsia="zh-TW"/>
        </w:rPr>
      </w:pPr>
      <w:r>
        <w:rPr>
          <w:rFonts w:hint="eastAsia" w:ascii="仿宋_GB2312" w:hAnsi="仿宋_GB2312" w:eastAsia="仿宋_GB2312" w:cs="仿宋_GB2312"/>
          <w:b/>
          <w:bCs/>
          <w:highlight w:val="none"/>
          <w:lang w:val="zh-TW" w:eastAsia="zh-TW"/>
        </w:rPr>
        <w:t>严格划定永久基本农田保护红线。</w:t>
      </w:r>
      <w:r>
        <w:rPr>
          <w:rFonts w:hint="eastAsia" w:ascii="仿宋_GB2312" w:hAnsi="仿宋_GB2312" w:eastAsia="仿宋_GB2312" w:cs="仿宋_GB2312"/>
          <w:b w:val="0"/>
          <w:bCs w:val="0"/>
          <w:highlight w:val="none"/>
          <w:lang w:val="zh-TW" w:eastAsia="zh-TW"/>
        </w:rPr>
        <w:t>按照总体稳定、局部微调、应保尽保、量质并重的要求，以现状耕地分布、坡度和质量等级为基础，划定永久基本农田红线，将已建成的高标准农田、已经划入粮食生产功能区和重要农产品生产保护区的耕地以及集中连片、规模较大，有良好的水利与水土保持的优质耕地优先划入永久基本农田，将不符合划定要求的地类划出永久基本农田。划定后2035年</w:t>
      </w:r>
      <w:r>
        <w:rPr>
          <w:rFonts w:hint="eastAsia" w:ascii="仿宋_GB2312" w:hAnsi="仿宋_GB2312" w:eastAsia="仿宋_GB2312" w:cs="仿宋_GB2312"/>
          <w:b w:val="0"/>
          <w:bCs w:val="0"/>
          <w:highlight w:val="none"/>
          <w:lang w:val="zh-TW" w:eastAsia="zh-CN"/>
        </w:rPr>
        <w:t>桦南县</w:t>
      </w:r>
      <w:r>
        <w:rPr>
          <w:rFonts w:hint="eastAsia" w:ascii="仿宋_GB2312" w:hAnsi="仿宋_GB2312" w:eastAsia="仿宋_GB2312" w:cs="仿宋_GB2312"/>
          <w:b w:val="0"/>
          <w:bCs w:val="0"/>
          <w:highlight w:val="none"/>
          <w:lang w:val="zh-TW" w:eastAsia="zh-TW"/>
        </w:rPr>
        <w:t>永久基本农田稳定在</w:t>
      </w:r>
      <w:r>
        <w:rPr>
          <w:rFonts w:hint="eastAsia" w:ascii="仿宋_GB2312" w:hAnsi="仿宋_GB2312" w:eastAsia="仿宋_GB2312" w:cs="仿宋_GB2312"/>
          <w:b w:val="0"/>
          <w:bCs w:val="0"/>
          <w:highlight w:val="none"/>
          <w:lang w:val="en-US" w:eastAsia="en-US"/>
        </w:rPr>
        <w:t>xx</w:t>
      </w:r>
      <w:r>
        <w:rPr>
          <w:rFonts w:hint="eastAsia" w:ascii="仿宋_GB2312" w:hAnsi="仿宋_GB2312" w:eastAsia="仿宋_GB2312" w:cs="仿宋_GB2312"/>
          <w:b w:val="0"/>
          <w:bCs w:val="0"/>
          <w:highlight w:val="none"/>
          <w:lang w:val="zh-TW" w:eastAsia="zh-TW"/>
        </w:rPr>
        <w:t>公顷以上。</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b w:val="0"/>
          <w:bCs w:val="0"/>
          <w:highlight w:val="none"/>
          <w:lang w:val="zh-TW" w:eastAsia="zh-TW"/>
        </w:rPr>
      </w:pPr>
      <w:r>
        <w:rPr>
          <w:rFonts w:hint="eastAsia" w:ascii="仿宋_GB2312" w:hAnsi="仿宋_GB2312" w:eastAsia="仿宋_GB2312" w:cs="仿宋_GB2312"/>
          <w:b/>
          <w:bCs/>
          <w:highlight w:val="none"/>
          <w:lang w:val="zh-TW" w:eastAsia="zh-TW"/>
        </w:rPr>
        <w:t>合理划定城镇开发边界。</w:t>
      </w:r>
      <w:r>
        <w:rPr>
          <w:rFonts w:hint="eastAsia" w:ascii="仿宋_GB2312" w:hAnsi="仿宋_GB2312" w:eastAsia="仿宋_GB2312" w:cs="仿宋_GB2312"/>
          <w:b w:val="0"/>
          <w:bCs w:val="0"/>
          <w:highlight w:val="none"/>
          <w:lang w:val="zh-TW" w:eastAsia="zh-TW"/>
        </w:rPr>
        <w:t>综合</w:t>
      </w:r>
      <w:r>
        <w:rPr>
          <w:rFonts w:hint="eastAsia" w:ascii="仿宋_GB2312" w:hAnsi="仿宋_GB2312" w:eastAsia="仿宋_GB2312" w:cs="仿宋_GB2312"/>
          <w:b w:val="0"/>
          <w:bCs w:val="0"/>
          <w:highlight w:val="none"/>
          <w:lang w:val="zh-TW" w:eastAsia="zh-CN"/>
        </w:rPr>
        <w:t>桦南县</w:t>
      </w:r>
      <w:r>
        <w:rPr>
          <w:rFonts w:hint="eastAsia" w:ascii="仿宋_GB2312" w:hAnsi="仿宋_GB2312" w:eastAsia="仿宋_GB2312" w:cs="仿宋_GB2312"/>
          <w:b w:val="0"/>
          <w:bCs w:val="0"/>
          <w:highlight w:val="none"/>
          <w:lang w:val="zh-TW" w:eastAsia="zh-TW"/>
        </w:rPr>
        <w:t>地质构造、自然地理条件、经济社会发展水平、城镇化发展阶段、城镇发展方向和规模等基础条件，从严划定城镇开发边界。2035年</w:t>
      </w:r>
      <w:r>
        <w:rPr>
          <w:rFonts w:hint="eastAsia" w:ascii="仿宋_GB2312" w:hAnsi="仿宋_GB2312" w:eastAsia="仿宋_GB2312" w:cs="仿宋_GB2312"/>
          <w:b w:val="0"/>
          <w:bCs w:val="0"/>
          <w:highlight w:val="none"/>
          <w:lang w:val="zh-TW" w:eastAsia="zh-CN"/>
        </w:rPr>
        <w:t>桦南县</w:t>
      </w:r>
      <w:r>
        <w:rPr>
          <w:rFonts w:hint="eastAsia" w:ascii="仿宋_GB2312" w:hAnsi="仿宋_GB2312" w:eastAsia="仿宋_GB2312" w:cs="仿宋_GB2312"/>
          <w:b w:val="0"/>
          <w:bCs w:val="0"/>
          <w:highlight w:val="none"/>
          <w:lang w:val="zh-TW" w:eastAsia="zh-TW"/>
        </w:rPr>
        <w:t>城镇开发边界为</w:t>
      </w:r>
      <w:r>
        <w:rPr>
          <w:rFonts w:hint="eastAsia" w:ascii="仿宋_GB2312" w:hAnsi="仿宋_GB2312" w:eastAsia="仿宋_GB2312" w:cs="仿宋_GB2312"/>
          <w:b w:val="0"/>
          <w:bCs w:val="0"/>
          <w:highlight w:val="none"/>
          <w:lang w:val="en-US" w:eastAsia="zh-CN"/>
        </w:rPr>
        <w:t>xx公顷</w:t>
      </w:r>
      <w:r>
        <w:rPr>
          <w:rFonts w:hint="eastAsia" w:ascii="仿宋_GB2312" w:hAnsi="仿宋_GB2312" w:eastAsia="仿宋_GB2312" w:cs="仿宋_GB2312"/>
          <w:b w:val="0"/>
          <w:bCs w:val="0"/>
          <w:highlight w:val="none"/>
          <w:lang w:val="zh-TW" w:eastAsia="zh-TW"/>
        </w:rPr>
        <w:t>,</w:t>
      </w:r>
      <w:r>
        <w:rPr>
          <w:rFonts w:hint="eastAsia" w:ascii="仿宋_GB2312" w:hAnsi="仿宋_GB2312" w:eastAsia="仿宋_GB2312" w:cs="仿宋_GB2312"/>
          <w:b w:val="0"/>
          <w:bCs w:val="0"/>
          <w:highlight w:val="none"/>
          <w:lang w:val="en-US" w:eastAsia="zh-CN"/>
        </w:rPr>
        <w:t>其中</w:t>
      </w:r>
      <w:r>
        <w:rPr>
          <w:rFonts w:hint="eastAsia" w:ascii="仿宋_GB2312" w:hAnsi="仿宋_GB2312" w:eastAsia="仿宋_GB2312" w:cs="仿宋_GB2312"/>
          <w:b w:val="0"/>
          <w:bCs w:val="0"/>
          <w:highlight w:val="none"/>
          <w:lang w:val="zh-TW" w:eastAsia="zh-TW"/>
        </w:rPr>
        <w:t>中心城区</w:t>
      </w:r>
      <w:r>
        <w:rPr>
          <w:rFonts w:hint="eastAsia" w:ascii="仿宋_GB2312" w:hAnsi="仿宋_GB2312" w:eastAsia="仿宋_GB2312" w:cs="仿宋_GB2312"/>
          <w:b w:val="0"/>
          <w:bCs w:val="0"/>
          <w:highlight w:val="none"/>
          <w:lang w:val="en-US" w:eastAsia="zh-CN"/>
        </w:rPr>
        <w:t>城镇</w:t>
      </w:r>
      <w:r>
        <w:rPr>
          <w:rFonts w:hint="eastAsia" w:ascii="仿宋_GB2312" w:hAnsi="仿宋_GB2312" w:eastAsia="仿宋_GB2312" w:cs="仿宋_GB2312"/>
          <w:b w:val="0"/>
          <w:bCs w:val="0"/>
          <w:highlight w:val="none"/>
          <w:lang w:val="zh-TW" w:eastAsia="zh-TW"/>
        </w:rPr>
        <w:t>开发边界</w:t>
      </w:r>
      <w:r>
        <w:rPr>
          <w:rFonts w:hint="eastAsia" w:ascii="仿宋_GB2312" w:hAnsi="仿宋_GB2312" w:eastAsia="仿宋_GB2312" w:cs="仿宋_GB2312"/>
          <w:b w:val="0"/>
          <w:bCs w:val="0"/>
          <w:highlight w:val="none"/>
          <w:lang w:val="en-US" w:eastAsia="en-US"/>
        </w:rPr>
        <w:t>xx</w:t>
      </w:r>
      <w:r>
        <w:rPr>
          <w:rFonts w:hint="eastAsia" w:ascii="仿宋_GB2312" w:hAnsi="仿宋_GB2312" w:eastAsia="仿宋_GB2312" w:cs="仿宋_GB2312"/>
          <w:b w:val="0"/>
          <w:bCs w:val="0"/>
          <w:highlight w:val="none"/>
          <w:lang w:val="en-US" w:eastAsia="zh-CN"/>
        </w:rPr>
        <w:t>公顷</w:t>
      </w:r>
      <w:r>
        <w:rPr>
          <w:rFonts w:hint="eastAsia" w:ascii="仿宋_GB2312" w:hAnsi="仿宋_GB2312" w:eastAsia="仿宋_GB2312" w:cs="仿宋_GB2312"/>
          <w:b w:val="0"/>
          <w:bCs w:val="0"/>
          <w:highlight w:val="none"/>
          <w:lang w:val="zh-TW" w:eastAsia="zh-CN"/>
        </w:rPr>
        <w:t>（</w:t>
      </w:r>
      <w:r>
        <w:rPr>
          <w:rFonts w:hint="eastAsia" w:ascii="仿宋_GB2312" w:hAnsi="仿宋_GB2312" w:eastAsia="仿宋_GB2312" w:cs="仿宋_GB2312"/>
          <w:b w:val="0"/>
          <w:bCs w:val="0"/>
          <w:highlight w:val="none"/>
          <w:lang w:val="en-US" w:eastAsia="zh-CN"/>
        </w:rPr>
        <w:t>城镇集中建设区xx公顷、城镇弹性发展区xx公顷、特别用途区xx公顷</w:t>
      </w:r>
      <w:r>
        <w:rPr>
          <w:rFonts w:hint="eastAsia" w:ascii="仿宋_GB2312" w:hAnsi="仿宋_GB2312" w:eastAsia="仿宋_GB2312" w:cs="仿宋_GB2312"/>
          <w:b w:val="0"/>
          <w:bCs w:val="0"/>
          <w:highlight w:val="none"/>
          <w:lang w:val="zh-TW" w:eastAsia="zh-CN"/>
        </w:rPr>
        <w:t>），</w:t>
      </w:r>
      <w:r>
        <w:rPr>
          <w:rFonts w:hint="eastAsia" w:ascii="仿宋_GB2312" w:hAnsi="仿宋_GB2312" w:eastAsia="仿宋_GB2312" w:cs="仿宋_GB2312"/>
          <w:b w:val="0"/>
          <w:bCs w:val="0"/>
          <w:highlight w:val="none"/>
          <w:lang w:val="en-US" w:eastAsia="zh-CN"/>
        </w:rPr>
        <w:t>驼腰子镇城镇开发边界xx公顷（城镇集中建设区xx公顷、城镇弹性发展区xx公顷、特别用途区xx公顷），石头河子镇城镇开发边界xx公顷（城镇集中建设区xx公顷、城镇弹性发展区xx公顷、特别用途区xx公顷），土龙山镇城镇开发边界xx公顷（城镇集中建设区xx公顷、城镇弹性发展区xx公顷、特别用途区xx公顷），闫家镇城镇开发边界xx公顷（城镇集中建设区xx公顷、城镇弹性发展区xx公顷、特别用途区xx公顷）</w:t>
      </w:r>
      <w:r>
        <w:rPr>
          <w:rFonts w:hint="eastAsia" w:ascii="仿宋_GB2312" w:hAnsi="仿宋_GB2312" w:eastAsia="仿宋_GB2312" w:cs="仿宋_GB2312"/>
          <w:b w:val="0"/>
          <w:bCs w:val="0"/>
          <w:highlight w:val="none"/>
          <w:lang w:val="zh-TW" w:eastAsia="zh-TW"/>
        </w:rPr>
        <w:t>。</w:t>
      </w:r>
    </w:p>
    <w:p>
      <w:pPr>
        <w:pStyle w:val="4"/>
        <w:bidi w:val="0"/>
        <w:rPr>
          <w:rFonts w:hint="eastAsia" w:ascii="黑体" w:eastAsia="黑体" w:cs="黑体"/>
          <w:color w:val="000000" w:themeColor="text1"/>
          <w:highlight w:val="none"/>
          <w:lang w:eastAsia="zh-CN"/>
          <w14:textFill>
            <w14:solidFill>
              <w14:schemeClr w14:val="tx1"/>
            </w14:solidFill>
          </w14:textFill>
        </w:rPr>
      </w:pPr>
      <w:bookmarkStart w:id="23" w:name="_Toc2270"/>
      <w:r>
        <w:rPr>
          <w:rFonts w:hint="eastAsia" w:ascii="黑体" w:cs="黑体"/>
          <w:color w:val="000000" w:themeColor="text1"/>
          <w:highlight w:val="none"/>
          <w14:textFill>
            <w14:solidFill>
              <w14:schemeClr w14:val="tx1"/>
            </w14:solidFill>
          </w14:textFill>
        </w:rPr>
        <w:t>第</w:t>
      </w:r>
      <w:r>
        <w:rPr>
          <w:rFonts w:hint="eastAsia" w:cs="黑体"/>
          <w:color w:val="000000" w:themeColor="text1"/>
          <w:highlight w:val="none"/>
          <w:lang w:val="en-US" w:eastAsia="zh-CN"/>
          <w14:textFill>
            <w14:solidFill>
              <w14:schemeClr w14:val="tx1"/>
            </w14:solidFill>
          </w14:textFill>
        </w:rPr>
        <w:t>三</w:t>
      </w:r>
      <w:r>
        <w:rPr>
          <w:rFonts w:hint="eastAsia" w:ascii="黑体" w:cs="黑体"/>
          <w:color w:val="000000" w:themeColor="text1"/>
          <w:highlight w:val="none"/>
          <w14:textFill>
            <w14:solidFill>
              <w14:schemeClr w14:val="tx1"/>
            </w14:solidFill>
          </w14:textFill>
        </w:rPr>
        <w:t>节 生态保护格局</w:t>
      </w:r>
      <w:bookmarkEnd w:id="23"/>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b w:val="0"/>
          <w:bCs w:val="0"/>
          <w:highlight w:val="none"/>
          <w:lang w:val="zh-TW" w:eastAsia="zh-TW"/>
        </w:rPr>
      </w:pPr>
      <w:r>
        <w:rPr>
          <w:rFonts w:hint="default" w:ascii="仿宋_GB2312" w:hAnsi="仿宋_GB2312" w:eastAsia="仿宋_GB2312" w:cs="仿宋_GB2312"/>
          <w:b w:val="0"/>
          <w:bCs w:val="0"/>
          <w:highlight w:val="none"/>
          <w:lang w:val="zh-TW" w:eastAsia="zh-TW"/>
        </w:rPr>
        <w:t>强化生态空间维育。生态空间是</w:t>
      </w:r>
      <w:r>
        <w:rPr>
          <w:rFonts w:hint="eastAsia" w:ascii="仿宋_GB2312" w:hAnsi="仿宋_GB2312" w:eastAsia="仿宋_GB2312" w:cs="仿宋_GB2312"/>
          <w:b w:val="0"/>
          <w:bCs w:val="0"/>
          <w:highlight w:val="none"/>
          <w:lang w:val="en-US" w:eastAsia="zh-CN"/>
        </w:rPr>
        <w:t>县域</w:t>
      </w:r>
      <w:r>
        <w:rPr>
          <w:rFonts w:hint="default" w:ascii="仿宋_GB2312" w:hAnsi="仿宋_GB2312" w:eastAsia="仿宋_GB2312" w:cs="仿宋_GB2312"/>
          <w:b w:val="0"/>
          <w:bCs w:val="0"/>
          <w:highlight w:val="none"/>
          <w:lang w:val="zh-TW" w:eastAsia="zh-TW"/>
        </w:rPr>
        <w:t>自然资源分布最为集中的地区， 包括须严格保护的陆地生态保护红线的集中区域、自然保护地、重要水库、湖泊、湿地、生态公益林集中区域等生态斑块。依托生态空间的维育加强自然保护地系统建设，包括黑龙江佳木斯七星湖省级森林公园、黑龙江七星砬子东北虎国家级自然保护区、黑龙江佳木斯共和水库省级湿地公园等自然保护地。在保护的前提下，在自然保护地控制区内划定适当区域开展生态教育、自然体验、生态旅游等活动，构建高品质、多样化的生态产品体系。</w:t>
      </w:r>
    </w:p>
    <w:p>
      <w:pPr>
        <w:keepNext w:val="0"/>
        <w:keepLines w:val="0"/>
        <w:pageBreakBefore w:val="0"/>
        <w:widowControl w:val="0"/>
        <w:kinsoku/>
        <w:wordWrap/>
        <w:overflowPunct w:val="0"/>
        <w:topLinePunct w:val="0"/>
        <w:autoSpaceDE/>
        <w:autoSpaceDN/>
        <w:bidi w:val="0"/>
        <w:adjustRightInd/>
        <w:snapToGrid/>
        <w:textAlignment w:val="auto"/>
        <w:rPr>
          <w:highlight w:val="none"/>
        </w:rPr>
      </w:pPr>
      <w:r>
        <w:rPr>
          <w:rFonts w:hint="default" w:ascii="仿宋_GB2312" w:hAnsi="仿宋_GB2312" w:eastAsia="仿宋_GB2312" w:cs="仿宋_GB2312"/>
          <w:b w:val="0"/>
          <w:bCs w:val="0"/>
          <w:highlight w:val="none"/>
          <w:lang w:val="zh-TW" w:eastAsia="zh-TW"/>
        </w:rPr>
        <w:t>构建等级清晰、布局合理、空间划定、落地管控的生态廊道系统。基于不同尺度生态廊道主导功能，为实现以网络型生态廊道建设来加强生态保育、提升生态连接度、维护水系功能维护、隔离城市组团。生态廊道管控范围内实行差异化管控策略，禁止将生态廊道管控范围内用地用于农业生产、绿化和水体、应急避难、公共文化体育或者市政基础设施建设以外的其他用途，对工业用地予以清退，对零星的农村居民点用地予以归并控制，在此基础上推进集中连片的林地建设。</w:t>
      </w:r>
    </w:p>
    <w:p>
      <w:pPr>
        <w:pStyle w:val="4"/>
        <w:spacing w:before="100" w:beforeAutospacing="1" w:after="100" w:afterAutospacing="1" w:line="560" w:lineRule="exact"/>
        <w:ind w:left="1006" w:hanging="1006" w:hangingChars="313"/>
        <w:jc w:val="center"/>
        <w:rPr>
          <w:rFonts w:hint="eastAsia" w:ascii="黑体" w:eastAsia="黑体" w:cs="黑体"/>
          <w:color w:val="000000" w:themeColor="text1"/>
          <w:highlight w:val="none"/>
          <w:lang w:eastAsia="zh-CN"/>
          <w14:textFill>
            <w14:solidFill>
              <w14:schemeClr w14:val="tx1"/>
            </w14:solidFill>
          </w14:textFill>
        </w:rPr>
      </w:pPr>
      <w:bookmarkStart w:id="24" w:name="_Toc16615"/>
      <w:r>
        <w:rPr>
          <w:rFonts w:hint="eastAsia" w:ascii="黑体" w:cs="黑体"/>
          <w:color w:val="000000" w:themeColor="text1"/>
          <w:highlight w:val="none"/>
          <w14:textFill>
            <w14:solidFill>
              <w14:schemeClr w14:val="tx1"/>
            </w14:solidFill>
          </w14:textFill>
        </w:rPr>
        <w:t>第</w:t>
      </w:r>
      <w:r>
        <w:rPr>
          <w:rFonts w:hint="eastAsia" w:cs="黑体"/>
          <w:color w:val="000000" w:themeColor="text1"/>
          <w:highlight w:val="none"/>
          <w:lang w:val="en-US" w:eastAsia="zh-CN"/>
          <w14:textFill>
            <w14:solidFill>
              <w14:schemeClr w14:val="tx1"/>
            </w14:solidFill>
          </w14:textFill>
        </w:rPr>
        <w:t>四</w:t>
      </w:r>
      <w:r>
        <w:rPr>
          <w:rFonts w:hint="eastAsia" w:ascii="黑体" w:cs="黑体"/>
          <w:color w:val="000000" w:themeColor="text1"/>
          <w:highlight w:val="none"/>
          <w14:textFill>
            <w14:solidFill>
              <w14:schemeClr w14:val="tx1"/>
            </w14:solidFill>
          </w14:textFill>
        </w:rPr>
        <w:t>节 农业发展格局</w:t>
      </w:r>
      <w:bookmarkEnd w:id="24"/>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结合</w:t>
      </w:r>
      <w:r>
        <w:rPr>
          <w:rFonts w:hint="eastAsia" w:ascii="仿宋_GB2312" w:hAnsi="仿宋_GB2312" w:eastAsia="仿宋_GB2312" w:cs="仿宋_GB2312"/>
          <w:highlight w:val="none"/>
          <w:lang w:val="en-US" w:eastAsia="zh-CN"/>
        </w:rPr>
        <w:t>桦南县</w:t>
      </w:r>
      <w:r>
        <w:rPr>
          <w:rFonts w:hint="default" w:ascii="仿宋_GB2312" w:hAnsi="仿宋_GB2312" w:eastAsia="仿宋_GB2312" w:cs="仿宋_GB2312"/>
          <w:highlight w:val="none"/>
          <w:lang w:val="en-US" w:eastAsia="zh-CN"/>
        </w:rPr>
        <w:t>域农业生产格局，基于桦南县自然资源，因地制宜构建农业发展格局。延伸农业产业链， 挖掘农业生态功能、文化功能和服务功能，串联起沿线各具特色的农业片区。推动都市农业特色化、集约化发展，促进农业现代化和规模化发展</w:t>
      </w:r>
      <w:r>
        <w:rPr>
          <w:rFonts w:hint="eastAsia" w:ascii="仿宋_GB2312" w:hAnsi="仿宋_GB2312" w:eastAsia="仿宋_GB2312" w:cs="仿宋_GB2312"/>
          <w:highlight w:val="none"/>
          <w:lang w:val="en-US" w:eastAsia="zh-CN"/>
        </w:rPr>
        <w:t>，</w:t>
      </w:r>
      <w:r>
        <w:rPr>
          <w:rFonts w:hint="default" w:ascii="仿宋_GB2312" w:hAnsi="仿宋_GB2312" w:eastAsia="仿宋_GB2312" w:cs="仿宋_GB2312"/>
          <w:highlight w:val="none"/>
          <w:lang w:val="en-US" w:eastAsia="zh-CN"/>
        </w:rPr>
        <w:t>强化生态屏障保护与林业资源开发，建设生态农业片区</w:t>
      </w:r>
      <w:r>
        <w:rPr>
          <w:rFonts w:hint="eastAsia" w:ascii="仿宋_GB2312" w:hAnsi="仿宋_GB2312" w:eastAsia="仿宋_GB2312" w:cs="仿宋_GB2312"/>
          <w:highlight w:val="none"/>
          <w:lang w:val="en-US" w:eastAsia="zh-CN"/>
        </w:rPr>
        <w:t>，</w:t>
      </w:r>
      <w:r>
        <w:rPr>
          <w:rFonts w:hint="default" w:ascii="仿宋_GB2312" w:hAnsi="仿宋_GB2312" w:eastAsia="仿宋_GB2312" w:cs="仿宋_GB2312"/>
          <w:highlight w:val="none"/>
          <w:lang w:val="en-US" w:eastAsia="zh-CN"/>
        </w:rPr>
        <w:t>推动都市农业特色化、精品化发展，打造集经济功能、生态功能、文化功能和景观功能于一体的休闲特色农业片区。</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保障农业空间提质增效。</w:t>
      </w:r>
      <w:r>
        <w:rPr>
          <w:rFonts w:hint="eastAsia" w:ascii="仿宋_GB2312" w:hAnsi="仿宋_GB2312" w:eastAsia="仿宋_GB2312" w:cs="仿宋_GB2312"/>
          <w:highlight w:val="none"/>
          <w:lang w:val="en-US" w:eastAsia="zh-CN"/>
        </w:rPr>
        <w:t>建设</w:t>
      </w:r>
      <w:r>
        <w:rPr>
          <w:rFonts w:hint="default" w:ascii="仿宋_GB2312" w:hAnsi="仿宋_GB2312" w:eastAsia="仿宋_GB2312" w:cs="仿宋_GB2312"/>
          <w:highlight w:val="none"/>
          <w:lang w:val="en-US" w:eastAsia="zh-CN"/>
        </w:rPr>
        <w:t>都市型现代农业片区要发挥区位优势，加强农用地集约化，以养殖基地、加工基地为主要载体，加快涉农产业集聚发展，优化农业生产性服务业布局，加强农产品仓储物流等基础设施及展销中心建设。精品特色现代农业片区要加大涉农建设用地支持力度，完善农业生产配套设施建设，严控开发建设项目侵占农业空间， 结合设施农用地供给、现代农业示范基地建设，促进农业现代化和规模化发展。山地生态农业片区需严格管控生态保护红线，注重与生态功能协调，明确农业种养区域，加大造林力度，保护森林资源，防止水土流失。休闲特色农业片区可加强农用地连片种养，提高土地利用率，促进特色养殖，依托农业产业园、农业公园，推动休闲农业与乡村旅游融合发展，延伸农业产业链，拓展农业发展空间。</w:t>
      </w:r>
    </w:p>
    <w:p>
      <w:pPr>
        <w:pStyle w:val="4"/>
        <w:bidi w:val="0"/>
        <w:rPr>
          <w:rFonts w:hint="eastAsia" w:cs="Times New Roman"/>
          <w:highlight w:val="none"/>
          <w:lang w:val="en-US" w:eastAsia="zh-CN"/>
        </w:rPr>
      </w:pPr>
      <w:bookmarkStart w:id="25" w:name="_Toc12812"/>
      <w:r>
        <w:rPr>
          <w:rFonts w:hint="eastAsia" w:cs="Times New Roman"/>
          <w:highlight w:val="none"/>
          <w:lang w:val="en-US" w:eastAsia="zh-CN"/>
        </w:rPr>
        <w:t>第五节 城乡发展格局</w:t>
      </w:r>
      <w:bookmarkEnd w:id="2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城镇等级结构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规划建立“中心城镇—重点镇—一般镇”的三级体系。规划１个中心城镇，3个重点镇，6个一般镇。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1、中心城镇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中心城镇即为桦南县中心城区。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2、重点镇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重点镇包括孟家岗镇、土龙山镇、石头河子镇。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3、一般镇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一般镇包括驼腰子镇、明义乡、梨树乡、金沙乡、闫家镇、大八浪乡。</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城镇规模结构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城镇规模分为三级，其中大于10万人的城镇1个，即中心城区；0.6万人～2万人的城镇3个，包括孟家岗镇、土龙山镇、石头河子镇；0.3万人～0.6万人的城镇6个，包括驼腰子镇、明义乡、梨树乡、金沙乡、闫家镇、大八浪乡。</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城镇职能结构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综合考虑地域资源、交通区位、区域社会劳动分工、产业结构、行政区划调整等因素，规划城镇职能分为综合型城镇、旅游服务型城镇、加工型（农副食品加工型、林下产品加工型、矿产资源加工型）城镇和农贸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1、综合型城镇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中心城区规划是以绿色食品精深加工、机械设备制造、新型建材为主要职能，以商贸、旅游服务为扩展职能的综合型城镇。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2、旅游服务型城镇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明义乡是以旅游服务、农副产品加工为主要职能，以商贸业为扩展职能的旅游服务型集镇。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3、加工型城镇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孟家岗镇是以林下产品加工、矿产经济为主要职能，以生态旅游为扩展职能的林下产品加工型城镇。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土龙山镇是以农副产品加工为主要职能，以旅游、商贸业为扩展职能的农副食品加工型加工型城镇。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石头河子镇是以林下产品加工、矿产经济为主要职能，以生态旅游为扩展职能的林下产品加工型城镇。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驼腰子镇是以矿产经济、农林产品为主要职能，以生态旅游为扩展职能的矿产资源加工城镇。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梨树乡是以农副产品加工为主要职能，以民俗旅游为扩展职能的农副食品加工型型集镇。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4、农贸型城镇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金沙乡、闫家镇、大八浪乡均是以现代农业为主要职能，以农副产品加工为扩展职能的农贸型城（集）镇。</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城镇空间结构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规划构建“一主三辅，三轴五区”的城镇空间结构。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1、“一主”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指桦南县中心城区，是桦南县政治、经济、文化中心，是县域人口产业集聚区，在区域发展中起着带动全县发展的龙头作用，同时它也是桦南县对外联系的集中点、经济发展的增长点，在区域发展中起着带动区域经济发展、促进全县经济增长的作用。</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2、“三辅”</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县域三个重点镇，即孟家岗镇、土龙山镇和石头河子镇，是带动乡村地区第二产业、第三产业集中发展的城镇，也是向乡村地区提供完善的服务设施的城镇。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3、“三轴”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包括鹤大发展主轴、依饶发展副轴、牡佳发展副轴。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鹤大发展主轴，依托鹤大高速（G11），沿线城镇发展条件优越，是县域的城镇发展核心地带，规划作为联系沿线各主要城镇的交通联系轴，强化以中心城区为中心，带动沿线明义乡、大八浪乡发展。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依饶发展副轴，依托依饶公路（S307），沿线城镇发展条件参差不齐，既有发达的核心地区，也有落后地区，规划作为联系沿线各主要城镇的城镇发展轴，联系土龙山镇、中心城区、驼腰子镇等。</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牡佳发展副轴，依托牡佳铁路，强化桦南县域与佳木斯市的联系，规划强化以中心城区为中心，以孟家岗镇和闫家镇为两翼的城镇发展带，南北联动、外向发展。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4、“五区”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包括核心城镇发展区、北部城镇发展区、南部城镇发展区、东部城镇发展区、西部城镇发展区。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核心城镇发展区以中心城区为主体，是全县的政治、经济、文化中心，是桦南最重要的城镇发展区，以绿色食品精深加工、机械设备制造、新型建材、商贸和旅游服务业为主的综合型城镇。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北部城镇发展区包括孟家岗镇、明义乡、金沙乡，与佳木斯市紧密联系的地区，以旅游服务、矿产经济、农林产品加工为主的旅游型、加工型城镇。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南部城镇发展区包括闫家镇和大八浪乡，打造县域南部新的增长极，以现代农业为依托的农贸型城镇。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东部城镇发展区主要以石头河子镇和驼腰子镇为主，打造县域东部增长极，以矿产经济、农林产品加工为主的加工型城镇。</w:t>
      </w:r>
    </w:p>
    <w:p>
      <w:pPr>
        <w:keepNext w:val="0"/>
        <w:keepLines w:val="0"/>
        <w:pageBreakBefore w:val="0"/>
        <w:widowControl w:val="0"/>
        <w:kinsoku/>
        <w:wordWrap/>
        <w:overflowPunct w:val="0"/>
        <w:topLinePunct w:val="0"/>
        <w:autoSpaceDE/>
        <w:autoSpaceDN/>
        <w:bidi w:val="0"/>
        <w:adjustRightInd/>
        <w:snapToGrid/>
        <w:textAlignment w:val="auto"/>
      </w:pPr>
      <w:r>
        <w:rPr>
          <w:rFonts w:hint="eastAsia" w:ascii="仿宋_GB2312" w:hAnsi="仿宋_GB2312" w:eastAsia="仿宋_GB2312" w:cs="仿宋_GB2312"/>
          <w:highlight w:val="none"/>
          <w:lang w:val="en-US" w:eastAsia="zh-CN"/>
        </w:rPr>
        <w:t>西部城镇发展区主要以土龙山镇和梨树乡为主，与哈尔滨等城市紧密联系的地区，以农副产品加工、资源加工为主的加工型城镇。</w:t>
      </w:r>
    </w:p>
    <w:p>
      <w:pPr>
        <w:pStyle w:val="4"/>
        <w:bidi w:val="0"/>
        <w:rPr>
          <w:rFonts w:hint="eastAsia" w:cs="Times New Roman"/>
          <w:highlight w:val="none"/>
          <w:lang w:val="en-US" w:eastAsia="zh-CN"/>
        </w:rPr>
      </w:pPr>
      <w:bookmarkStart w:id="26" w:name="_Toc23565"/>
      <w:r>
        <w:rPr>
          <w:rFonts w:hint="eastAsia" w:cs="Times New Roman"/>
          <w:highlight w:val="none"/>
          <w:lang w:val="en-US" w:eastAsia="zh-CN"/>
        </w:rPr>
        <w:t>第六节 国土规划分区与空间结构优化</w:t>
      </w:r>
      <w:bookmarkEnd w:id="26"/>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国土空间结构优化</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优先保护农业和生态用地。优先保护耕地、林地、湿地等重要农业和生态功能用地，规划至 2035 年，非建设用地面积不低于xx 公顷。优先保障蔬菜、粮食等基本生产，引导农业结构向有利于增加耕地的方向调整。加强林地、水域、湿地等重要生态用地保护，拓展绿色空间和水源涵养空间，提升土地生态化水平。结合现代农业和特色农业发展，积极引导园地向立地条件适宜的丘陵、台地和荒坡地集中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优化建设用地结构。加大存量低效用地盘活力度，增加优质空间有效供给，规划至 2035 年，中心城区的城乡用地不超过 xx 公顷，其他建设用地不超过xx 公顷。</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 xml:space="preserve"> 国土空间功能分区</w:t>
      </w:r>
    </w:p>
    <w:p>
      <w:pPr>
        <w:keepNext w:val="0"/>
        <w:keepLines w:val="0"/>
        <w:pageBreakBefore w:val="0"/>
        <w:widowControl w:val="0"/>
        <w:kinsoku/>
        <w:wordWrap/>
        <w:overflowPunct w:val="0"/>
        <w:topLinePunct w:val="0"/>
        <w:autoSpaceDE/>
        <w:autoSpaceDN/>
        <w:bidi w:val="0"/>
        <w:adjustRightInd/>
        <w:snapToGrid/>
        <w:textAlignment w:val="auto"/>
        <w:rPr>
          <w:rFonts w:hint="eastAsia"/>
          <w:lang w:val="en-US" w:eastAsia="zh-CN"/>
        </w:rPr>
      </w:pPr>
      <w:r>
        <w:rPr>
          <w:rFonts w:hint="eastAsia" w:ascii="仿宋_GB2312" w:hAnsi="仿宋_GB2312" w:eastAsia="仿宋_GB2312" w:cs="仿宋_GB2312"/>
          <w:highlight w:val="none"/>
          <w:lang w:val="en-US" w:eastAsia="zh-CN"/>
        </w:rPr>
        <w:t>落实省、市主体功能区、国土空间规划的要求，根据桦南县国土空间的资源分布现状，落实国土空间保护与利用的管控意图，划定规划分区，构建全县域国土空间开发保护、科学发展的空间格局。县域规划基本分区主要包括：生态保护区、生态控制区、农田保护区、城镇发展区和乡村发展区四类。其中，城镇发展区细化包括城镇集中建设区、城镇弹性发展区和特别用途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生态保护区，</w:t>
      </w:r>
      <w:r>
        <w:rPr>
          <w:rFonts w:hint="eastAsia" w:ascii="仿宋_GB2312" w:hAnsi="仿宋_GB2312" w:eastAsia="仿宋_GB2312" w:cs="仿宋_GB2312"/>
          <w:highlight w:val="none"/>
          <w:lang w:val="en-US" w:eastAsia="zh-CN"/>
        </w:rPr>
        <w:t>是指具有特殊生态功能或生态环境敏感脆弱、必须保护的自然区域。该分区既包括须严格保护的陆域生态保护红线的集中区，也包括在生态保护红线之外，为了完善区域生态格局、提升区域生态功能，以生态保护、修复为主要功能导向的区域，主要有饮用水源地、水产种质资源保护区等。县域范围划定生态保护区xxx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生态控制区，</w:t>
      </w:r>
      <w:r>
        <w:rPr>
          <w:rFonts w:hint="eastAsia" w:ascii="仿宋_GB2312" w:hAnsi="仿宋_GB2312" w:eastAsia="仿宋_GB2312" w:cs="仿宋_GB2312"/>
          <w:highlight w:val="none"/>
          <w:lang w:val="en-US" w:eastAsia="zh-CN"/>
        </w:rPr>
        <w:t>是指除生态保护红线外，需要予以保留原貌、强化生态保育和生态建设、限制开发建设的自然区域。县域范围划定生态控制区xxx公顷。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农田保护区，</w:t>
      </w:r>
      <w:r>
        <w:rPr>
          <w:rFonts w:hint="eastAsia" w:ascii="仿宋_GB2312" w:hAnsi="仿宋_GB2312" w:eastAsia="仿宋_GB2312" w:cs="仿宋_GB2312"/>
          <w:highlight w:val="none"/>
          <w:lang w:val="en-US" w:eastAsia="zh-CN"/>
        </w:rPr>
        <w:t>是为了维护国家粮食安全，切实保护耕地，促进农业生产和社会经济的可持续发展，划定的需实行特殊保护和管理的区域。永久基本农田集中保护区是永久基本农田相对集中形成的区域，县域范围划定农田保护区xxx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田保护区按照相关法律法规进行管理，区内从严管控非农建设占用永久基本农田，鼓励开展高标准农田建设和土地整治，提高永久基本农田质量。为实施国家重大交通、能源、水利及军事用地，经批准占用永久基本农田集中保护区的，原则上分区不做调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城镇发展区</w:t>
      </w:r>
      <w:r>
        <w:rPr>
          <w:rFonts w:hint="eastAsia" w:ascii="仿宋_GB2312" w:hAnsi="仿宋_GB2312" w:eastAsia="仿宋_GB2312" w:cs="仿宋_GB2312"/>
          <w:highlight w:val="none"/>
          <w:lang w:val="en-US" w:eastAsia="zh-CN"/>
        </w:rPr>
        <w:t>，是为了满足各类城镇发展需求、优化城镇功能和空间布局为目的而划定的区域，包括城镇集中建设区、城镇弹性发展区和特别用途区。该分区的范围原则上与城镇开发边界范围一致。分区外原则上不得进行城镇集中建设，以防止城市蔓延、无序扩张和低效开发。县域城镇发展区面积为xxx公顷,其中，城镇集中建设区约为xxx公顷，城镇弹性发展区为xxx公顷，特别用途区为xxx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发展区内应明确在一定时期内可以进行城镇开发和集中建设的地域，对区内的城市集中建设区、乡镇集中建设区、城镇弹性发展区提出总体指标控制要求，对各类城镇建设土地用途和城镇建设行为提出准入要求。该分区所有建设行为应按照详细规划进行精细化管理。城镇发展区内的特别用途区明确生态、文化等各类资源的保护要求与特色功能建设的管控要求，进一步优化城镇空间结构和形态，提升城镇宜居环境品质。</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城镇集中建设区，</w:t>
      </w:r>
      <w:r>
        <w:rPr>
          <w:rFonts w:hint="eastAsia" w:ascii="仿宋_GB2312" w:hAnsi="仿宋_GB2312" w:eastAsia="仿宋_GB2312" w:cs="仿宋_GB2312"/>
          <w:highlight w:val="none"/>
          <w:lang w:val="en-US" w:eastAsia="zh-CN"/>
        </w:rPr>
        <w:t>是为了满足城镇居民生产、生活需要集中连片建设的区域，是在城镇开发边界内允许开展城镇开发建设行为的核心区域。城镇集中建设区应重点考虑城镇的发展方向与布局形态要求，并基于城镇发展规模的科学测算，由城镇建设用地与河流水系、绿色空间等用地共同形成相对规整、人与自然和谐共生的空间形态。</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集中建设区内应编制详细规划，采用“详细规划+规划许可”的方式进行管理，对城镇建设用地的总体和单项指标严格管控，实施规划用途管制与开发许可制度。同时加强与水体保护线、绿地系统线、基础设施建设控制线、历史文化保护线（城市绿线、蓝线、紫线、黄线）的协同管控，通过划定“四线"及其管理办法实现对城镇核心要素的控制。</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城镇弹性发展区，</w:t>
      </w:r>
      <w:r>
        <w:rPr>
          <w:rFonts w:hint="eastAsia" w:ascii="仿宋_GB2312" w:hAnsi="仿宋_GB2312" w:eastAsia="仿宋_GB2312" w:cs="仿宋_GB2312"/>
          <w:highlight w:val="none"/>
          <w:lang w:val="en-US" w:eastAsia="zh-CN"/>
        </w:rPr>
        <w:t>是为了应对未来发展的不确定性，增强规划的适应性，在城镇开发边界内预留的在特定条件下城镇集中建设区可调整的范围。该区是对城镇集中建设区可能形态的空间预留，是在满足特定条件后可进行城镇建设的区域，不计入城镇建设用地规模指标核算。</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highlight w:val="none"/>
          <w:lang w:val="en-US" w:eastAsia="zh-CN"/>
        </w:rPr>
        <w:t>城镇弹性发展区，</w:t>
      </w:r>
      <w:r>
        <w:rPr>
          <w:rFonts w:hint="eastAsia" w:ascii="仿宋_GB2312" w:hAnsi="仿宋_GB2312" w:eastAsia="仿宋_GB2312" w:cs="仿宋_GB2312"/>
          <w:highlight w:val="none"/>
          <w:lang w:val="en-US" w:eastAsia="zh-CN"/>
        </w:rPr>
        <w:t>按照城镇功能空间布局的要求，基于不同区域差异化的资源环境承载能力和开发适宜性条件合理确定。该分区应与城镇总体功能结构、主要拓展方向相匹配，在空间上尽可能与城镇集中建设区连片，保证便捷的交通联系；并应设定用地规模的控制要求，避免无限扩大。</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城镇弹性发展区，</w:t>
      </w:r>
      <w:r>
        <w:rPr>
          <w:rFonts w:hint="eastAsia" w:ascii="仿宋_GB2312" w:hAnsi="仿宋_GB2312" w:eastAsia="仿宋_GB2312" w:cs="仿宋_GB2312"/>
          <w:highlight w:val="none"/>
          <w:lang w:val="en-US" w:eastAsia="zh-CN"/>
        </w:rPr>
        <w:t>是城镇发展区的弹性空间，在不违反国土空间规划强制性内容和不突破规划城镇建设用地规模的前提下，可调整为城镇集中建设区，调整后的管控要求等同城镇集中建设区，采用“详细规划+规划许可”的方式进行管理,可准入各类城镇建设行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特别用途区是为了优化城镇空间格局与功能布局，保障城镇生态功能与环境品质、居民休闲游憩、设施安全与防护隔离，提升居民生活质量等需要，划入城镇开发边界内进行管控的各类生态、人文景观等开敞空间。特別用途区综合考虑生态、文化保护与城镇功能、形态完整性的要求，包括连通城镇功能组团的生态隔离廊道、城镇内部的核心生态要素等需要特殊保护与严格管控的区域。</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特别用途区采用“详细规划+规划许可”的方式进行管控，同时应明确可准入的项目类型，区内涉及的山体、水体、保护地应分别纳入山体、水体、保护地名录进行专项管理。该区内的建设行为应严格管控，在对生态、人文环境不产生破坏的前提下，可适度开展休闲、科研、教育等相关活动，为城镇居民提供生态、人文景观服务。</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乡村发展区，</w:t>
      </w:r>
      <w:r>
        <w:rPr>
          <w:rFonts w:hint="eastAsia" w:ascii="仿宋_GB2312" w:hAnsi="仿宋_GB2312" w:eastAsia="仿宋_GB2312" w:cs="仿宋_GB2312"/>
          <w:highlight w:val="none"/>
          <w:lang w:val="en-US" w:eastAsia="zh-CN"/>
        </w:rPr>
        <w:t>是为了推动农业全面升级、农村全面进步、农民全面发展，实现乡村全面振兴而划定的农业生产、生活发展区域。该分区包括农业农村发展区中永久基本农田集中保护区以外的耕地、园地、林地、草地等农用地，农业和乡村特色产业发展所需的各类配套设施用地，以及现状和规划的村庄建设用地。农业农村发展区面积为xxx公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乡村发展区应以促进农业乡村特色产业发展、改善农民生产生活条件为导向，按照“详细规划+规划许可”和“约束指标+分区准入”的方式，根据具体土地用途类型进行管理。对于村庄建设用地和各类配套设施用地，按照人均村庄建设用地指标进行管控。农业农村发展区内允许农业和乡村特色产业发展及其配套设施建设，以及为改善农村人居环境进行的村庄建设与整治；严禁集中连片的城镇开发建设。在充分进行可行性、必要性研究的基础上，在不影响安全、不破坏功能的前提下，区内允许建设区域性基础设施廊道,并应做好相应的补偿措施。</w:t>
      </w:r>
    </w:p>
    <w:p>
      <w:pPr>
        <w:pStyle w:val="3"/>
        <w:bidi w:val="0"/>
        <w:rPr>
          <w:rFonts w:hint="eastAsia"/>
          <w:highlight w:val="none"/>
        </w:rPr>
      </w:pPr>
      <w:bookmarkStart w:id="27" w:name="_Toc18991"/>
      <w:r>
        <w:rPr>
          <w:rFonts w:hint="eastAsia"/>
          <w:highlight w:val="none"/>
        </w:rPr>
        <w:t>第五章 资源保护与开发利用</w:t>
      </w:r>
      <w:bookmarkEnd w:id="27"/>
    </w:p>
    <w:p>
      <w:pPr>
        <w:pStyle w:val="4"/>
        <w:bidi w:val="0"/>
        <w:rPr>
          <w:rFonts w:hint="default" w:ascii="黑体"/>
          <w:kern w:val="0"/>
          <w:sz w:val="33"/>
          <w:highlight w:val="green"/>
        </w:rPr>
      </w:pPr>
      <w:bookmarkStart w:id="28" w:name="_Toc19979"/>
      <w:bookmarkStart w:id="29" w:name="_Toc26539819"/>
      <w:bookmarkStart w:id="30" w:name="_Toc26539818"/>
      <w:r>
        <w:rPr>
          <w:rFonts w:hint="eastAsia" w:cs="Times New Roman"/>
          <w:highlight w:val="none"/>
          <w:lang w:val="zh-CN" w:eastAsia="zh-CN"/>
        </w:rPr>
        <w:t>第一节 水资源保护与利用</w:t>
      </w:r>
      <w:bookmarkEnd w:id="28"/>
      <w:bookmarkStart w:id="31" w:name="第38条 水资源保护与利用"/>
      <w:bookmarkEnd w:id="31"/>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加强水系保护。划定饮用水水源保护区，水源地水质达标率达到100%， 实现水资源和水生态系统的良性循环，实现对水源地的安全监控和规范化管理。划定境内</w:t>
      </w:r>
      <w:r>
        <w:rPr>
          <w:rFonts w:hint="eastAsia" w:ascii="仿宋_GB2312" w:hAnsi="仿宋_GB2312" w:eastAsia="仿宋_GB2312" w:cs="仿宋_GB2312"/>
          <w:highlight w:val="none"/>
          <w:lang w:val="en-US" w:eastAsia="zh-CN"/>
        </w:rPr>
        <w:t>七虎力河、八虎力河</w:t>
      </w:r>
      <w:r>
        <w:rPr>
          <w:rFonts w:hint="default"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val="en-US" w:eastAsia="zh-CN"/>
        </w:rPr>
        <w:t>倭肯河</w:t>
      </w:r>
      <w:r>
        <w:rPr>
          <w:rFonts w:hint="default"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val="en-US" w:eastAsia="zh-CN"/>
        </w:rPr>
        <w:t>松木河</w:t>
      </w:r>
      <w:r>
        <w:rPr>
          <w:rFonts w:hint="default" w:ascii="仿宋_GB2312" w:hAnsi="仿宋_GB2312" w:eastAsia="仿宋_GB2312" w:cs="仿宋_GB2312"/>
          <w:highlight w:val="none"/>
          <w:lang w:val="en-US" w:eastAsia="zh-CN"/>
        </w:rPr>
        <w:t>等主要河流河湖管理范围，结合城市蓝线进行统一管理，严格按照《城市蓝线管理办法》进行管控</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构建多水源安全供水格局。预测2025</w:t>
      </w:r>
      <w:r>
        <w:rPr>
          <w:rFonts w:hint="eastAsia" w:ascii="仿宋_GB2312" w:hAnsi="仿宋_GB2312" w:eastAsia="仿宋_GB2312" w:cs="仿宋_GB2312"/>
          <w:highlight w:val="none"/>
          <w:lang w:val="en-US" w:eastAsia="zh-CN"/>
        </w:rPr>
        <w:t>年桦南县</w:t>
      </w:r>
      <w:r>
        <w:rPr>
          <w:rFonts w:hint="default" w:ascii="仿宋_GB2312" w:hAnsi="仿宋_GB2312" w:eastAsia="仿宋_GB2312" w:cs="仿宋_GB2312"/>
          <w:highlight w:val="none"/>
          <w:lang w:val="en-US" w:eastAsia="zh-CN"/>
        </w:rPr>
        <w:t xml:space="preserve">用水量达到 </w:t>
      </w:r>
      <w:r>
        <w:rPr>
          <w:rFonts w:hint="eastAsia" w:ascii="仿宋_GB2312" w:hAnsi="仿宋_GB2312" w:eastAsia="仿宋_GB2312" w:cs="仿宋_GB2312"/>
          <w:highlight w:val="none"/>
          <w:lang w:val="en-US" w:eastAsia="zh-CN"/>
        </w:rPr>
        <w:t>4.69亿立方米（地表水3.89亿立方米，地下水0.80亿立方米），预测2035年用水量达到4.67亿立方米（地表水3.88亿立方米，地下水0.79亿立方米）。</w:t>
      </w:r>
      <w:r>
        <w:rPr>
          <w:rFonts w:hint="default" w:ascii="仿宋_GB2312" w:hAnsi="仿宋_GB2312" w:eastAsia="仿宋_GB2312" w:cs="仿宋_GB2312"/>
          <w:highlight w:val="none"/>
          <w:lang w:val="en-US" w:eastAsia="zh-CN"/>
        </w:rPr>
        <w:t>充分挖掘供水潜力，扩大取水规模，逐步形成多水源供水安全格局。优化整合城区供水系统各水厂布局，提高供水水质安全保障能力依托各镇区现有供水系统，统筹城区和各镇的供水管网连接， 逐步完善城乡供水管网一体化。</w:t>
      </w:r>
      <w:r>
        <w:rPr>
          <w:rFonts w:hint="default" w:ascii="仿宋_GB2312" w:hAnsi="仿宋_GB2312" w:eastAsia="仿宋_GB2312" w:cs="仿宋_GB2312"/>
          <w:highlight w:val="none"/>
          <w:lang w:val="zh-CN" w:eastAsia="zh-CN"/>
        </w:rPr>
        <w:t>提高水资源利用效率。全面建设节水型城市，实施用水总量控制</w:t>
      </w:r>
      <w:r>
        <w:rPr>
          <w:rFonts w:hint="eastAsia" w:ascii="仿宋_GB2312" w:hAnsi="仿宋_GB2312" w:eastAsia="仿宋_GB2312" w:cs="仿宋_GB2312"/>
          <w:highlight w:val="none"/>
          <w:lang w:val="zh-CN" w:eastAsia="zh-CN"/>
        </w:rPr>
        <w:t>。</w:t>
      </w:r>
    </w:p>
    <w:p>
      <w:pPr>
        <w:pStyle w:val="4"/>
        <w:bidi w:val="0"/>
        <w:rPr>
          <w:rFonts w:hint="eastAsia" w:cs="Times New Roman"/>
          <w:highlight w:val="none"/>
          <w:lang w:val="zh-CN" w:eastAsia="zh-CN"/>
        </w:rPr>
      </w:pPr>
      <w:bookmarkStart w:id="32" w:name="_TOC_250042"/>
      <w:bookmarkEnd w:id="32"/>
      <w:bookmarkStart w:id="33" w:name="_Toc24483"/>
      <w:r>
        <w:rPr>
          <w:rFonts w:hint="eastAsia" w:cs="Times New Roman"/>
          <w:highlight w:val="none"/>
          <w:lang w:val="zh-CN" w:eastAsia="zh-CN"/>
        </w:rPr>
        <w:t>第二节 森林资源保护与利用</w:t>
      </w:r>
      <w:bookmarkEnd w:id="33"/>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zh-CN" w:eastAsia="zh-CN"/>
        </w:rPr>
        <w:t>落实森林资源保护目标。落实</w:t>
      </w:r>
      <w:r>
        <w:rPr>
          <w:rFonts w:hint="eastAsia" w:ascii="仿宋_GB2312" w:hAnsi="仿宋_GB2312" w:eastAsia="仿宋_GB2312" w:cs="仿宋_GB2312"/>
          <w:highlight w:val="none"/>
          <w:lang w:val="en-US" w:eastAsia="zh-CN"/>
        </w:rPr>
        <w:t>佳木斯市下达桦南县</w:t>
      </w:r>
      <w:r>
        <w:rPr>
          <w:rFonts w:hint="default" w:ascii="仿宋_GB2312" w:hAnsi="仿宋_GB2312" w:eastAsia="仿宋_GB2312" w:cs="仿宋_GB2312"/>
          <w:highlight w:val="none"/>
          <w:lang w:val="zh-CN" w:eastAsia="zh-CN"/>
        </w:rPr>
        <w:t>规划指标保护任务，规划至 2035</w:t>
      </w:r>
      <w:r>
        <w:rPr>
          <w:rFonts w:hint="default" w:ascii="仿宋_GB2312" w:hAnsi="仿宋_GB2312" w:eastAsia="仿宋_GB2312" w:cs="仿宋_GB2312"/>
          <w:highlight w:val="none"/>
          <w:lang w:val="en-US" w:eastAsia="zh-CN"/>
        </w:rPr>
        <w:t>年，</w:t>
      </w:r>
      <w:r>
        <w:rPr>
          <w:rFonts w:hint="eastAsia" w:ascii="仿宋_GB2312" w:hAnsi="仿宋_GB2312" w:eastAsia="仿宋_GB2312" w:cs="仿宋_GB2312"/>
          <w:highlight w:val="none"/>
          <w:lang w:val="en-US" w:eastAsia="zh-CN"/>
        </w:rPr>
        <w:t>县域</w:t>
      </w:r>
      <w:r>
        <w:rPr>
          <w:rFonts w:hint="default" w:ascii="仿宋_GB2312" w:hAnsi="仿宋_GB2312" w:eastAsia="仿宋_GB2312" w:cs="仿宋_GB2312"/>
          <w:highlight w:val="none"/>
          <w:lang w:val="en-US" w:eastAsia="zh-CN"/>
        </w:rPr>
        <w:t xml:space="preserve">森林保有量不低于 </w:t>
      </w:r>
      <w:r>
        <w:rPr>
          <w:rFonts w:hint="eastAsia" w:ascii="仿宋_GB2312" w:hAnsi="仿宋_GB2312" w:eastAsia="仿宋_GB2312" w:cs="仿宋_GB2312"/>
          <w:highlight w:val="none"/>
          <w:lang w:val="en-US" w:eastAsia="zh-CN"/>
        </w:rPr>
        <w:t>xx公顷</w:t>
      </w:r>
      <w:r>
        <w:rPr>
          <w:rFonts w:hint="default" w:ascii="仿宋_GB2312" w:hAnsi="仿宋_GB2312" w:eastAsia="仿宋_GB2312" w:cs="仿宋_GB2312"/>
          <w:highlight w:val="none"/>
          <w:lang w:val="en-US" w:eastAsia="zh-CN"/>
        </w:rPr>
        <w:t>，林地面积不低于 xx公顷。严格落实林地用途管制，控制经营性项目占用林地指标，严格执行林地征占用定额管理制度，确保到 2035 年林地征占用总额控制在市下达指标以内。</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default" w:ascii="仿宋_GB2312" w:hAnsi="仿宋_GB2312" w:eastAsia="仿宋_GB2312" w:cs="仿宋_GB2312"/>
          <w:highlight w:val="none"/>
          <w:lang w:val="en-US" w:eastAsia="zh-CN"/>
        </w:rPr>
        <w:t>加强森林资源保护与修复。加强山体森林保护，构建以山体、防护林为主体的生态屏障。推进生态区位重要和生态脆弱区域的公益林建设和通过荒山补植、疏林地抚育、林分改造、封山育林等措施进行林地修复，提高低质林地的生态防护功能，提高全县森林覆盖率和森林生态系统功能。完善生态公益林补偿机制，增加生态公益林面积， 提高生态公益林质量。改善经济林生态环境，避免种植大面积单一树种的经济林，全面提高森林涵养水源能力的建设。</w:t>
      </w:r>
    </w:p>
    <w:p>
      <w:pPr>
        <w:keepNext w:val="0"/>
        <w:keepLines w:val="0"/>
        <w:pageBreakBefore w:val="0"/>
        <w:widowControl w:val="0"/>
        <w:kinsoku/>
        <w:wordWrap/>
        <w:overflowPunct w:val="0"/>
        <w:topLinePunct w:val="0"/>
        <w:autoSpaceDE/>
        <w:autoSpaceDN/>
        <w:bidi w:val="0"/>
        <w:adjustRightInd/>
        <w:snapToGrid/>
        <w:textAlignment w:val="auto"/>
        <w:rPr>
          <w:rFonts w:hint="default"/>
          <w:kern w:val="0"/>
          <w:sz w:val="34"/>
          <w:highlight w:val="green"/>
        </w:rPr>
      </w:pPr>
      <w:r>
        <w:rPr>
          <w:rFonts w:hint="default" w:ascii="仿宋_GB2312" w:hAnsi="仿宋_GB2312" w:eastAsia="仿宋_GB2312" w:cs="仿宋_GB2312"/>
          <w:highlight w:val="none"/>
          <w:lang w:val="zh-CN" w:eastAsia="zh-CN"/>
        </w:rPr>
        <w:t>合理利用森林资源。</w:t>
      </w:r>
      <w:r>
        <w:rPr>
          <w:rFonts w:hint="default" w:ascii="仿宋_GB2312" w:hAnsi="仿宋_GB2312" w:eastAsia="仿宋_GB2312" w:cs="仿宋_GB2312"/>
          <w:highlight w:val="none"/>
          <w:lang w:val="en-US" w:eastAsia="zh-CN"/>
        </w:rPr>
        <w:t>在符合公益林生态区位保护要求和不影响公益林生态功能的前提下，经科学论证，合理利用公益林地资源和森林景观资源，适度开展林下经济、森林旅游等。</w:t>
      </w:r>
    </w:p>
    <w:p>
      <w:pPr>
        <w:pStyle w:val="4"/>
        <w:bidi w:val="0"/>
        <w:rPr>
          <w:rFonts w:hint="eastAsia" w:cs="Times New Roman"/>
          <w:highlight w:val="none"/>
          <w:lang w:val="zh-CN" w:eastAsia="zh-CN"/>
        </w:rPr>
      </w:pPr>
      <w:bookmarkStart w:id="34" w:name="_TOC_250041"/>
      <w:bookmarkEnd w:id="34"/>
      <w:bookmarkStart w:id="35" w:name="_Toc31621"/>
      <w:r>
        <w:rPr>
          <w:rFonts w:hint="eastAsia" w:cs="Times New Roman"/>
          <w:highlight w:val="none"/>
          <w:lang w:val="zh-CN" w:eastAsia="zh-CN"/>
        </w:rPr>
        <w:t>第三节 耕地资源保护与利用</w:t>
      </w:r>
      <w:bookmarkEnd w:id="3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严控非农建设占用耕地</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落实</w:t>
      </w:r>
      <w:r>
        <w:rPr>
          <w:rFonts w:hint="eastAsia" w:ascii="仿宋_GB2312" w:hAnsi="仿宋_GB2312" w:eastAsia="仿宋_GB2312" w:cs="仿宋_GB2312"/>
          <w:highlight w:val="none"/>
          <w:lang w:val="en-US" w:eastAsia="zh-CN"/>
        </w:rPr>
        <w:t>耕地</w:t>
      </w:r>
      <w:r>
        <w:rPr>
          <w:rFonts w:hint="default" w:ascii="仿宋_GB2312" w:hAnsi="仿宋_GB2312" w:eastAsia="仿宋_GB2312" w:cs="仿宋_GB2312"/>
          <w:highlight w:val="none"/>
          <w:lang w:val="zh-CN" w:eastAsia="zh-CN"/>
        </w:rPr>
        <w:t>资源保护目标。落实佳木斯市下达桦南县规划指标保护任务，规划至 2035年，县域</w:t>
      </w:r>
      <w:r>
        <w:rPr>
          <w:rFonts w:hint="eastAsia" w:ascii="仿宋_GB2312" w:hAnsi="仿宋_GB2312" w:eastAsia="仿宋_GB2312" w:cs="仿宋_GB2312"/>
          <w:highlight w:val="none"/>
          <w:lang w:val="en-US" w:eastAsia="zh-CN"/>
        </w:rPr>
        <w:t>永久基本农田面积</w:t>
      </w:r>
      <w:r>
        <w:rPr>
          <w:rFonts w:hint="default" w:ascii="仿宋_GB2312" w:hAnsi="仿宋_GB2312" w:eastAsia="仿宋_GB2312" w:cs="仿宋_GB2312"/>
          <w:highlight w:val="none"/>
          <w:lang w:val="zh-CN" w:eastAsia="zh-CN"/>
        </w:rPr>
        <w:t>不低于 xx公顷，</w:t>
      </w:r>
      <w:r>
        <w:rPr>
          <w:rFonts w:hint="eastAsia" w:ascii="仿宋_GB2312" w:hAnsi="仿宋_GB2312" w:eastAsia="仿宋_GB2312" w:cs="仿宋_GB2312"/>
          <w:highlight w:val="none"/>
          <w:lang w:val="en-US" w:eastAsia="zh-CN"/>
        </w:rPr>
        <w:t>耕地保有量</w:t>
      </w:r>
      <w:r>
        <w:rPr>
          <w:rFonts w:hint="default" w:ascii="仿宋_GB2312" w:hAnsi="仿宋_GB2312" w:eastAsia="仿宋_GB2312" w:cs="仿宋_GB2312"/>
          <w:highlight w:val="none"/>
          <w:lang w:val="zh-CN" w:eastAsia="zh-CN"/>
        </w:rPr>
        <w:t>不低于 xx公顷。推进建设占用耕地耕作层剥离再利用，实施耕地分级保护，将优质耕地纳入永久基本农田严格保护。严格落实“占一补一、占优补优、占水田补水田”要求，因地制宜实施补充耕地。</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扎实推进土地整治，促进土地集约利用和耕地占补平衡。对建设用地进行内涵挖潜，大力开展城乡建设用地增减挂钩积极。推进土地综合整治、农田整治及高标准农田建设，运用先进技术、工程措施和生物措施进行土地整治，加强农业生产设施建设、改善生产条件，加强耕地环境健康建设，防御和治理土地污染，改良土壤、提高肥力，加强土地整治管理，落实土地复垦条例，做到耕地数量不减少、质量不降低。</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推进耕地保护手段现代化</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加强科学研究，推进耕地和基本农田保护手段的现代化。加强耕地和基本农田保护指标确定、分解方法和依据研究，从土地政策、财政税收、规划管理等多角度科学制定差别性的管制和激励政策。建立耕地和基本农田保护价值体系，创新基本农田保护社会监督和鼓励机制、质量建设投入机制、组织协调机制和监督管理机制，完善基本农田保护的区域补偿方式， 建立基本农田保护的长效机制。健全各项规章制度，建立科学、合理和可操作的耕地和基本农田保护考核制度和社会责任制度，加强耕地和基本农田保护技术研究，建立技术保障体系，提高保护、管理的科学技术水平， 为实现“基本农田标准化，基础工作规范化，保护责任社会化，监督管理信息化”提供可靠技术支撑。</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bookmarkStart w:id="36" w:name="第42条 挖掘耕地景观价值"/>
      <w:bookmarkEnd w:id="36"/>
      <w:r>
        <w:rPr>
          <w:rFonts w:hint="eastAsia" w:ascii="仿宋_GB2312" w:hAnsi="仿宋_GB2312" w:eastAsia="仿宋_GB2312" w:cs="仿宋_GB2312"/>
          <w:b/>
          <w:bCs/>
          <w:highlight w:val="none"/>
          <w:lang w:val="zh-CN" w:eastAsia="zh-CN"/>
        </w:rPr>
        <w:t>挖掘耕地景观价值</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拓展耕地价值，通过土地整理，形成“田成方、林成行、渠相通、路相连”的景观，结合城乡风貌，打造以耕地景观、农业生产、农产品为基础的生态农业观光区域，以农造景、以景促旅，将自然景观、农田景观和人文景观有机融合。充分合理挖掘耕地的景观价值，创造耕地最优化的经济效益，同时通过农田的生态效应，尽可能减少城市化侵占耕地，促进</w:t>
      </w:r>
      <w:r>
        <w:rPr>
          <w:rFonts w:hint="eastAsia" w:ascii="仿宋_GB2312" w:hAnsi="仿宋_GB2312" w:eastAsia="仿宋_GB2312" w:cs="仿宋_GB2312"/>
          <w:highlight w:val="none"/>
          <w:lang w:val="zh-CN" w:eastAsia="zh-CN"/>
        </w:rPr>
        <w:t>桦南县</w:t>
      </w:r>
      <w:r>
        <w:rPr>
          <w:rFonts w:hint="default" w:ascii="仿宋_GB2312" w:hAnsi="仿宋_GB2312" w:eastAsia="仿宋_GB2312" w:cs="仿宋_GB2312"/>
          <w:highlight w:val="none"/>
          <w:lang w:val="zh-CN" w:eastAsia="zh-CN"/>
        </w:rPr>
        <w:t>城乡一体化发展。</w:t>
      </w:r>
    </w:p>
    <w:p>
      <w:pPr>
        <w:pStyle w:val="4"/>
        <w:bidi w:val="0"/>
        <w:rPr>
          <w:rFonts w:hint="default" w:ascii="楷体"/>
          <w:b/>
          <w:kern w:val="0"/>
          <w:sz w:val="50"/>
          <w:highlight w:val="green"/>
        </w:rPr>
      </w:pPr>
      <w:bookmarkStart w:id="37" w:name="_TOC_250040"/>
      <w:bookmarkEnd w:id="37"/>
      <w:bookmarkStart w:id="38" w:name="_Toc32079"/>
      <w:r>
        <w:rPr>
          <w:rFonts w:hint="eastAsia" w:cs="Times New Roman"/>
          <w:highlight w:val="none"/>
          <w:lang w:val="zh-CN" w:eastAsia="zh-CN"/>
        </w:rPr>
        <w:t>第四节 矿产资源保护与利用</w:t>
      </w:r>
      <w:bookmarkEnd w:id="38"/>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提高矿产资源利用效率</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坚持矿产资源节约集约利用。</w:t>
      </w:r>
      <w:r>
        <w:rPr>
          <w:rFonts w:hint="eastAsia" w:ascii="仿宋_GB2312" w:hAnsi="仿宋_GB2312" w:eastAsia="仿宋_GB2312" w:cs="仿宋_GB2312"/>
          <w:highlight w:val="none"/>
          <w:lang w:val="en-US" w:eastAsia="zh-CN"/>
        </w:rPr>
        <w:t>桦南县</w:t>
      </w:r>
      <w:r>
        <w:rPr>
          <w:rFonts w:hint="default" w:ascii="仿宋_GB2312" w:hAnsi="仿宋_GB2312" w:eastAsia="仿宋_GB2312" w:cs="仿宋_GB2312"/>
          <w:highlight w:val="none"/>
          <w:lang w:val="zh-CN" w:eastAsia="zh-CN"/>
        </w:rPr>
        <w:t>开采量较大的主要有建筑石料用灰岩、建筑用花岗岩等矿产。对规模小、生产技术落后、采富弃贫、资源利用率低、严重污染环境，并存在安全隐患的小规模矿山应进行整顿，甚至予以关闭。支持资源节约、技术先进、生态环保，具有资金、技术和管理优势的采矿企业与加工企业联合，引导加工企业收购上游开采企业，形成采选加一体化模式，推动资源节约集约利用，提高资源综合利用效率。</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至规划期末，主要矿山开发利用工艺技术和设备符合资源节约与综合利用要求，技术经济水平达到省内先进行列。</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bookmarkStart w:id="39" w:name="第44条 坚持与环境保护相协调"/>
      <w:bookmarkEnd w:id="39"/>
      <w:r>
        <w:rPr>
          <w:rFonts w:hint="eastAsia" w:ascii="仿宋_GB2312" w:hAnsi="仿宋_GB2312" w:eastAsia="仿宋_GB2312" w:cs="仿宋_GB2312"/>
          <w:b/>
          <w:bCs/>
          <w:highlight w:val="none"/>
          <w:lang w:val="zh-CN" w:eastAsia="zh-CN"/>
        </w:rPr>
        <w:t>坚持与环境保护相协调</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坚持环境保护优先，强化红线意识。从生态文明建设的大局出发，协调矿产资源开发利用空间布局与各种环境保护区的关系，落实矿产资源勘查开发管理功能分区，指导勘查开发活动有序开展。树立绿色矿业发展理念，增强矿产开发企业建设绿色矿山的意识和能力。加强矿山地质环境治理和矿山土地复垦体制机制建设，最大限度的降低矿产开发对环境的影响。</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贯彻“开发与环境保护并重，环境优先，预防为主，防治结合，综合治理”的方针，科学有序推进矿山地质环境保护与治理工作。加强矿山地质环境调查评价工作，评估预测矿山地质环境现状和发展趋势，划分矿山地质环境保护与治理分区，制定矿山地质环境保护与治理规划。</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通过对矿山关、停、并、转，减少企业数量，扩大企业规模。促进经济结构多元化，引进和发展新兴工业及服务业，延长矿山产业链。严格控制矿山废气、废水等的排放，建立完善的废弃物回收装置和污染处理，同时开展大规模的植树造林，美化矿山环境。</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实现矿产资源可持续发展</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建设绿色矿业发展，实现矿产资源可持续发展。建设绿色矿山是新形势下矿产资源管理和矿业发展的重要方向，通过着力打造绿色矿山示范工程，发挥其行业带动作用，促进资源集约节约利用水平显著提高，矿山环境得到有效保护，矿区土地复垦水平全面提升，矿山企业与地方和谐发展。</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到2035年，全县新建矿山达到绿色矿山建设标准，现有矿山企业加快改造升级，力争达到绿色矿山建设要求。矿山环境得到有效保护，矿区土地复垦水平全面提升，矿山企业与地方和谐发展，矿业秩序全面好转。</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zh-CN" w:eastAsia="zh-CN"/>
        </w:rPr>
      </w:pPr>
      <w:r>
        <w:rPr>
          <w:rFonts w:hint="default" w:ascii="仿宋_GB2312" w:hAnsi="仿宋_GB2312" w:eastAsia="仿宋_GB2312" w:cs="仿宋_GB2312"/>
          <w:highlight w:val="none"/>
          <w:lang w:val="zh-CN" w:eastAsia="zh-CN"/>
        </w:rPr>
        <w:t>落实绿色矿业发展目标，加大绿色矿山建设试点项目实施力度，确保至规划期末年巩固和完善绿色矿业格局。完善绿色矿山标准体系和管理制度，形成资源集约节约利用水平显著提高、矿山环境得到有效保护、矿区土地复垦水平全面提升、矿山企业与地方和谐发展的新格局。在全区范围推进绿色矿山建设，将区内现有矿山按矿种、开采方式、治理内容分类，按照绿色矿山建设要求制定阶段工作目标，分步实施，并分解落实实施和监督责任主体。政府及相关部门要创新和增强管理能力，形成与矿山企业齐抓共管局面，率先实现并带动全市全面实现绿色矿业发展目标。</w:t>
      </w:r>
    </w:p>
    <w:p>
      <w:pPr>
        <w:keepNext w:val="0"/>
        <w:keepLines w:val="0"/>
        <w:pageBreakBefore w:val="0"/>
        <w:widowControl w:val="0"/>
        <w:kinsoku/>
        <w:wordWrap/>
        <w:overflowPunct w:val="0"/>
        <w:topLinePunct w:val="0"/>
        <w:autoSpaceDE/>
        <w:autoSpaceDN/>
        <w:bidi w:val="0"/>
        <w:adjustRightInd/>
        <w:snapToGrid/>
        <w:textAlignment w:val="auto"/>
        <w:rPr>
          <w:highlight w:val="green"/>
        </w:rPr>
      </w:pPr>
      <w:r>
        <w:rPr>
          <w:rFonts w:hint="default" w:ascii="仿宋_GB2312" w:hAnsi="仿宋_GB2312" w:eastAsia="仿宋_GB2312" w:cs="仿宋_GB2312"/>
          <w:highlight w:val="none"/>
          <w:lang w:val="zh-CN" w:eastAsia="zh-CN"/>
        </w:rPr>
        <w:t>贯彻集约节约和综合利用的矿产资源开发方针。依靠科技创新和先进技术，加快转型升级，转变资源利用方式，提高资源利用效率。以市场为导向，发挥政策宏观调控作用，优化矿业开发布局，合理调整开发结构、规模和时序。发展矿业循环经济，落实矿产资源保护措施，提高矿产资源开发利用水平，促进矿产资源合理开发和有效保护，实现矿产资源的可持续发展。</w:t>
      </w:r>
    </w:p>
    <w:p>
      <w:pPr>
        <w:widowControl/>
        <w:jc w:val="left"/>
        <w:rPr>
          <w:rFonts w:ascii="黑体" w:hAnsi="Calibri" w:eastAsia="黑体" w:cs="黑体"/>
          <w:b/>
          <w:bCs/>
          <w:color w:val="000000" w:themeColor="text1"/>
          <w:kern w:val="44"/>
          <w:sz w:val="36"/>
          <w:szCs w:val="36"/>
          <w:highlight w:val="red"/>
          <w14:textFill>
            <w14:solidFill>
              <w14:schemeClr w14:val="tx1"/>
            </w14:solidFill>
          </w14:textFill>
        </w:rPr>
      </w:pPr>
      <w:r>
        <w:rPr>
          <w:rFonts w:ascii="黑体" w:eastAsia="黑体" w:cs="黑体"/>
          <w:color w:val="000000" w:themeColor="text1"/>
          <w:sz w:val="36"/>
          <w:szCs w:val="36"/>
          <w:highlight w:val="red"/>
          <w14:textFill>
            <w14:solidFill>
              <w14:schemeClr w14:val="tx1"/>
            </w14:solidFill>
          </w14:textFill>
        </w:rPr>
        <w:br w:type="page"/>
      </w:r>
    </w:p>
    <w:p>
      <w:pPr>
        <w:pStyle w:val="3"/>
        <w:bidi w:val="0"/>
        <w:rPr>
          <w:rFonts w:hint="eastAsia"/>
          <w:highlight w:val="none"/>
        </w:rPr>
      </w:pPr>
      <w:bookmarkStart w:id="40" w:name="_Toc24915"/>
      <w:r>
        <w:rPr>
          <w:rFonts w:hint="eastAsia"/>
          <w:highlight w:val="none"/>
        </w:rPr>
        <w:t>第六章 历史文化资源保护</w:t>
      </w:r>
      <w:bookmarkEnd w:id="40"/>
    </w:p>
    <w:p>
      <w:pPr>
        <w:pStyle w:val="4"/>
        <w:bidi w:val="0"/>
        <w:rPr>
          <w:rFonts w:hint="eastAsia" w:cs="Times New Roman"/>
          <w:highlight w:val="none"/>
          <w:lang w:val="en-US" w:eastAsia="zh-CN"/>
        </w:rPr>
      </w:pPr>
      <w:bookmarkStart w:id="41" w:name="_Toc31755"/>
      <w:r>
        <w:rPr>
          <w:rFonts w:hint="eastAsia" w:cs="Times New Roman"/>
          <w:highlight w:val="none"/>
          <w:lang w:val="en-US" w:eastAsia="zh-CN"/>
        </w:rPr>
        <w:t>第一节 历史文化遗产保护对象</w:t>
      </w:r>
      <w:bookmarkEnd w:id="41"/>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历年悠久，历史文物遗产丰富，拥有省级文物遗迹3处，包括土龙山暴动战迹地、横岱山古城堡、三道沟遗址群等，12处县级文物遗迹，具有较高的历史价值和开发价值。全域历史文化风貌保护面积0.85平方公里。</w:t>
      </w:r>
    </w:p>
    <w:p>
      <w:pPr>
        <w:pStyle w:val="4"/>
        <w:bidi w:val="0"/>
        <w:rPr>
          <w:rFonts w:hint="eastAsia" w:cs="Times New Roman"/>
          <w:highlight w:val="none"/>
          <w:lang w:val="en-US" w:eastAsia="zh-CN"/>
        </w:rPr>
      </w:pPr>
      <w:bookmarkStart w:id="42" w:name="_Toc3782"/>
      <w:r>
        <w:rPr>
          <w:rFonts w:hint="eastAsia" w:cs="Times New Roman"/>
          <w:highlight w:val="none"/>
          <w:lang w:val="en-US" w:eastAsia="zh-CN"/>
        </w:rPr>
        <w:t>第二节 历史文化遗产保护原则</w:t>
      </w:r>
      <w:bookmarkEnd w:id="42"/>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1、原真性</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尽量保持历史文化遗迹的原始真实性，不顾原真性的重建、修复，甚至修建仿古街道，都是对历史文化遗产保护的误解，丧失原真性的历史遗迹已经不具有历史文化保护的意义，冲淡和影响对真正历史遗存的保护。因此，历史文化遗产保护的原真性原则是最重要的原则。</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2、整体性</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任何历史遗迹与其周围的环境同时存在，失去了原有环境，影响对其历史信息的真实理解，只注重对历史文化遗存本身的保护，而忽视周边的环境，破坏了历史文化遗存的整体性。整体性原则要求对历史文化遗存的保护要照顾到其周围的历史环境，不能就遗存论遗存，要从整体的环境角度来考虑历史文化遗存的保护。</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3、严格性</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对制定的历史文化遗产保护规划严格执行，对破坏历史文物古迹的行为依法严格查处，坚决按照相关法律法规对历史文化古迹进行保护。</w:t>
      </w:r>
    </w:p>
    <w:p>
      <w:pPr>
        <w:pStyle w:val="4"/>
        <w:bidi w:val="0"/>
        <w:rPr>
          <w:rFonts w:hint="eastAsia" w:cs="Times New Roman"/>
          <w:highlight w:val="none"/>
          <w:lang w:val="en-US" w:eastAsia="zh-CN"/>
        </w:rPr>
      </w:pPr>
      <w:bookmarkStart w:id="43" w:name="_Toc18522"/>
      <w:r>
        <w:rPr>
          <w:rFonts w:hint="eastAsia" w:cs="Times New Roman"/>
          <w:highlight w:val="none"/>
          <w:lang w:val="en-US" w:eastAsia="zh-CN"/>
        </w:rPr>
        <w:t>第三节 历史文化遗产保护措施</w:t>
      </w:r>
      <w:bookmarkEnd w:id="43"/>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1、按照《中华人民共和国城乡规划法》、《中华人民共和国文物保护法》、《城市紫线管理办法》，编制保护规划，划定保护范围和建设控制地带，实施文物保护工程，并发挥其展示教育意义。</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2、对重要文物保护单位保护范围与建设控制地带之外的周边环境整治要注意保护和尊重历史环境。</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3、严格执行《中华人民共和国文物保护法（2013修正）》有关规定，文物保护单位的保护范围内不得进行其它建设工程。如有特殊需要，必须经原批准的人民政府和上一级文化行政主管部门同意。</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4、建设单位在进行选址和工程设计时，因建设工程涉及文物保护单位的应当事先会同省和县文化行政管理部门确定保护措施，列入设计任务书。</w:t>
      </w:r>
    </w:p>
    <w:p>
      <w:pPr>
        <w:keepNext w:val="0"/>
        <w:keepLines w:val="0"/>
        <w:pageBreakBefore w:val="0"/>
        <w:widowControl w:val="0"/>
        <w:kinsoku/>
        <w:wordWrap/>
        <w:overflowPunct w:val="0"/>
        <w:topLinePunct w:val="0"/>
        <w:autoSpaceDE/>
        <w:autoSpaceDN/>
        <w:bidi w:val="0"/>
        <w:adjustRightInd/>
        <w:snapToGrid/>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5、核定为文物保护单位的革命遗址、纪念建筑物、古墓葬等（包括建筑物的附属物），在进行修缮、保养、迁移的时候，必须遵守不改变文物原状的原则。</w:t>
      </w:r>
    </w:p>
    <w:p>
      <w:pPr>
        <w:rPr>
          <w:color w:val="000000" w:themeColor="text1"/>
          <w:highlight w:val="red"/>
          <w14:textFill>
            <w14:solidFill>
              <w14:schemeClr w14:val="tx1"/>
            </w14:solidFill>
          </w14:textFill>
        </w:rPr>
      </w:pPr>
    </w:p>
    <w:p>
      <w:pPr>
        <w:pStyle w:val="3"/>
        <w:bidi w:val="0"/>
        <w:rPr>
          <w:rFonts w:hint="eastAsia"/>
          <w:highlight w:val="none"/>
        </w:rPr>
      </w:pPr>
      <w:bookmarkStart w:id="44" w:name="_Toc14082"/>
      <w:r>
        <w:rPr>
          <w:rFonts w:hint="eastAsia"/>
          <w:highlight w:val="none"/>
        </w:rPr>
        <w:t>第</w:t>
      </w:r>
      <w:r>
        <w:rPr>
          <w:rFonts w:hint="eastAsia"/>
          <w:highlight w:val="none"/>
          <w:lang w:val="en-US" w:eastAsia="zh-CN"/>
        </w:rPr>
        <w:t>七</w:t>
      </w:r>
      <w:r>
        <w:rPr>
          <w:rFonts w:hint="eastAsia"/>
          <w:highlight w:val="none"/>
        </w:rPr>
        <w:t>章 支撑体系规划</w:t>
      </w:r>
      <w:bookmarkEnd w:id="44"/>
    </w:p>
    <w:p>
      <w:pPr>
        <w:pStyle w:val="4"/>
        <w:bidi w:val="0"/>
        <w:rPr>
          <w:rFonts w:hint="eastAsia" w:cs="Times New Roman"/>
          <w:highlight w:val="none"/>
          <w:lang w:val="zh-CN" w:eastAsia="zh-CN"/>
        </w:rPr>
      </w:pPr>
      <w:bookmarkStart w:id="45" w:name="_Toc1746"/>
      <w:r>
        <w:rPr>
          <w:rFonts w:hint="eastAsia" w:cs="Times New Roman"/>
          <w:highlight w:val="none"/>
          <w:lang w:val="zh-CN" w:eastAsia="zh-CN"/>
        </w:rPr>
        <w:t>第一节 产业发展规划</w:t>
      </w:r>
      <w:bookmarkEnd w:id="4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产业发展策略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1、长期主导——做精农业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发展以水稻、玉米、大豆、畜禽产品，以及林菌、林菜、林药等为代表的绿色食品产业。大力发展绿色食品产业，完善农产品产业链条，强化精深加工项目，积极向农业强县转变。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丰富种植和养殖品种，大力发展药材种植和特色养殖，通过发展观光农业、森林浴等，实现与旅游业的衔接，完善绿色食品加工业产业链条，坚持做精深加工。利用丰富的农业资源，提升区域农业竞争力，打造精品农业，树立绿色食品品牌。</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2、优势细分——做强工业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围绕风电机械装备产业，大力发展风电机械零部件生产，完善配套体系。以发展农业机械、矿产机械零部件为主，形成涉及农业机械和矿产经济各个阶段使用机械的零部件配套产业体系。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桦南县工业发展应调整产业结构，局部做强以风电机械、农机机械、矿产机械为主的能源机械装备制造工业，以矿产资源精深加工为主的矿产经济，以节能环保为发展方向的新型建材产业。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3、体系门槛——做全商贸服务业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利用招远皮革城，亿丰国际建材商贸城等商贸服务业的发展契机，形成具有竞争优势的商贸服务业产业链条，将个人或企业的消费聚集到桦南，增强产业竞争优势，增加地方经济效益，在体系上做全商贸服务业，涵盖区域金融保险、电子商务、法律咨询、物流、会展、科技服务、旅游、休闲娱乐、餐饮及批发零售等十个产业。</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产业空间结构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规划县域产业形成“一心，三带、三区”的产业空间结构。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1、“一心”</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中心城区桦南工业园区为县域产业核心，由装备制造产业园、进出口加工产业园、高新技术产业园、医药食品加工产业园、现代物流产业园五大园区组成，是桦南县提升传统产业，培育新兴产业，推进桦南经济发展的增长极核。</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2、“三带”</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鹤大高速产业发展带：是桦南县城镇、产业发展的主轴，是县域产业和城镇密集地带和重点发展地带，是桦南城镇化、工业化发展的一级轴线和优先发展轴线，重点发展工业及服务业。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牡佳铁路产业发展带：是桦南县南北向另一条重要的次级产业发展走廊，依托牡佳铁路与佳木斯在空间上形成紧密联系，充分利用森林旅游资源，树立旅游特色品牌，以旅游业带动第三产业和特色农产品加工业的发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饶公路产业发展带：是桦南县东西向重要的次级产业发展走廊，连接土龙山镇、桦南镇、驼腰子镇，该发展方向在桦南县对外经济联系中将起到重要作用，是桦南县现代农业、特色农产品加工业、矿产资源开发的主要集聚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3、“三区”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规划形成核心产业经济区、西部产业经济区、东部产业经济区。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核心产业经济区为桦南县中心城区，主要发展绿色食品精深加工、机械设备制造、新型建材，以商贸、旅游为特色。</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西部产业经济区主要包括农业产业和农副食品加工。大八浪乡、闫家镇、金沙乡等平原地区乡镇主要发展农业产业，规划加强土地规模经营，发展现代农业，保障粮食产量；土龙山镇、梨树乡为主，依托大豆、水稻生产基地的建设，重点发展农副产品优势产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东部产业经济区主要包括林下产品、矿产资源和旅游及森工产业。孟家岗镇、驼腰子镇、石头河子镇主要发展林下产品加工、煤炭、铁矿资源加工；明义乡、孟家岗镇、桦南林业局，重点打造农家乐，森林和水域观光度假等旅游项目。</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产业空间布局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1、第一产业布局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（1）种植业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托桦南县农业资源优势，大力发展无公害食品、绿色食品、有机食品，建立无公害蔬菜生产基地、水稻种植基地、绿色饲草基地。种植业主要布局在大八浪乡、闫家镇、梨树乡、土龙山镇、金沙乡等平原地区。依托森林资源，发展以木耳、白瓜、北药等绿色特色农产品种植业，主要布局在孟家岗镇、驼腰子镇、石头河子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（2）畜牧业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大力发展高效畜牧业、特色畜牧业，建立牛羊养殖基地，绒山羊、野猪特色养殖基地。畜牧业主要布局在桦南镇、孟家岗镇。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2、第二产业布局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（1）绿色食品加工业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水稻加工主要发展方向为营养强化米、留胚米等新产品，发展新型糙米配料与发芽糙米的生产。禽畜产品加工发展肉牛、生猪等主导畜牧品种，稳步发展肉禽、蛋禽、羊和特种动物养殖。食用菌产业要发挥水稻育秧大棚二次利用，不断完善“企业+合作社+基地+农户”的发展模式。林果产业开发红松果仁调和油、红松粕蛋白饮料、红松肽保健品等系列产品。林药产业研发生产多样化、系列化、优质化，适应市场需求的保健品和医药产品。林业养殖发展以森林猪为主、林下鹿为辅，以及其它林禽、林畜养殖加工为补充的多元化林业养殖产业。林业蔬菜开发山野菜软包装食品、罐头食品、山野菜汁、野菜干品、速冻菜、保鲜菜等产品，延长产业链条。</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（2）机械设备制造业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风电机械制造加大对华锐风电装备综合产业基地、岱威风机塔筒、富龙电力设备制造等项目的支持力度，实现风电装备产业的规模化和系统化。农业机械制造通过引进国内农业机械综合性企业集团、主机生产企业、专业化零部件企业，形成优势互补、协调发展的格局。矿山机械制造通过引进国内煤矿成套装备、零部件制造为主导，以及矿区修造配套服务为辅助的重点企业，形成以煤炭机械制造为核心的多元化矿山机械制造产业体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（3）矿产经济产业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快煤炭、铁矿产业内部结构调整，综合开发煤炭、铁矿资源，利用煤炭资源存量优势，发展煤炭筛选、精练、炼焦、煤气、型煤、合成氨等洁净煤技术，同时，发展PVC、乙醛、甲醛、醋酸、甲胺等建材、化工衍生产品。铁矿开发方面，要向精品钢、特种钢、中厚板、高端紧固件、精密铸件、轻钢结构等方向拓展。</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（4）新型建材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点实现建材产品新型化，以大理石材、水泥制品、白云岩制品、珍珠岩制品、花岗岩制品等产品为重点，重点发展如混凝土、水泥构件、菱镁制品、涂料、隔热材料、保温材料、石膏板、墙体、石阶、陶瓷制品等具有轻体、节能、节土、提高施工效率和改善建筑功能的建筑砌块、建筑板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3、第三产业布局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（1）商贸服务业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围绕区域金融保险、电子商务、法律咨询、物流、会展、科技服务、旅游、休闲娱乐、餐饮及批发零售等十大产业，建立健全商贸服务体系，实现区域对俄对外贸易、区域流通集散、区域商务基地、城区商业中心四个功能。依托桦南招远皮革城商贸服务业的业态组合，重点发展与招远皮革城消费群体一致的珠宝、黄金、钟表等中高档奢侈品展示鉴定中心，延伸消费需求；同时大力发展精品餐饮、轻娱乐和观光旅游等配套产业，形成满足不同消费需求的吃住游购一体化商业中心。</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（2）旅游业</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展休闲型农业和观光型农业，在向阳湖自然风光旅游风景区、共和水库休闲度假旅游风景区、孟家岗人工林生态旅游风景区、七星峰生态旅游风景区等景区周围大力发展绿色生菜采摘园、休闲垂钓基地、特色农家饮食等休闲度假园区，大力发展“农家乐”项目。</w:t>
      </w:r>
    </w:p>
    <w:p>
      <w:pPr>
        <w:pStyle w:val="4"/>
        <w:bidi w:val="0"/>
        <w:rPr>
          <w:rFonts w:hint="default" w:cs="Times New Roman"/>
          <w:highlight w:val="none"/>
          <w:lang w:val="en-US" w:eastAsia="zh-CN"/>
        </w:rPr>
      </w:pPr>
      <w:bookmarkStart w:id="46" w:name="_Toc14906"/>
      <w:r>
        <w:rPr>
          <w:rFonts w:hint="eastAsia" w:cs="Times New Roman"/>
          <w:highlight w:val="none"/>
          <w:lang w:val="en-US" w:eastAsia="zh-CN"/>
        </w:rPr>
        <w:t>第二节 综合</w:t>
      </w:r>
      <w:r>
        <w:rPr>
          <w:rFonts w:hint="default" w:cs="Times New Roman"/>
          <w:highlight w:val="none"/>
          <w:lang w:val="en-US" w:eastAsia="zh-CN"/>
        </w:rPr>
        <w:fldChar w:fldCharType="begin"/>
      </w:r>
      <w:r>
        <w:rPr>
          <w:rFonts w:hint="default" w:cs="Times New Roman"/>
          <w:highlight w:val="none"/>
          <w:lang w:val="en-US" w:eastAsia="zh-CN"/>
        </w:rPr>
        <w:instrText xml:space="preserve"> HYPERLINK \l "_Toc26539852" </w:instrText>
      </w:r>
      <w:r>
        <w:rPr>
          <w:rFonts w:hint="default" w:cs="Times New Roman"/>
          <w:highlight w:val="none"/>
          <w:lang w:val="en-US" w:eastAsia="zh-CN"/>
        </w:rPr>
        <w:fldChar w:fldCharType="separate"/>
      </w:r>
      <w:r>
        <w:rPr>
          <w:rFonts w:hint="eastAsia" w:cs="Times New Roman"/>
          <w:highlight w:val="none"/>
          <w:lang w:val="en-US" w:eastAsia="zh-CN"/>
        </w:rPr>
        <w:t>交通体系</w:t>
      </w:r>
      <w:r>
        <w:rPr>
          <w:rFonts w:hint="eastAsia" w:cs="Times New Roman"/>
          <w:highlight w:val="none"/>
          <w:lang w:val="en-US" w:eastAsia="zh-CN"/>
        </w:rPr>
        <w:fldChar w:fldCharType="end"/>
      </w:r>
      <w:r>
        <w:rPr>
          <w:rFonts w:hint="eastAsia" w:cs="Times New Roman"/>
          <w:highlight w:val="none"/>
          <w:lang w:val="en-US" w:eastAsia="zh-CN"/>
        </w:rPr>
        <w:t>规划</w:t>
      </w:r>
      <w:bookmarkEnd w:id="46"/>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bookmarkStart w:id="47" w:name="_Toc299890488"/>
      <w:bookmarkStart w:id="48" w:name="_Toc306365722"/>
      <w:bookmarkStart w:id="49" w:name="_Toc326652995"/>
      <w:bookmarkStart w:id="50" w:name="_Toc304189923"/>
      <w:bookmarkStart w:id="51" w:name="_Toc395343679"/>
      <w:bookmarkStart w:id="52" w:name="_Toc308008882"/>
      <w:bookmarkStart w:id="53" w:name="_Toc395963570"/>
      <w:bookmarkStart w:id="54" w:name="_Toc299966195"/>
      <w:bookmarkStart w:id="55" w:name="_Toc308270075"/>
      <w:bookmarkStart w:id="56" w:name="_Toc393375440"/>
      <w:bookmarkStart w:id="57" w:name="_Toc67939146"/>
      <w:r>
        <w:rPr>
          <w:rFonts w:hint="eastAsia" w:ascii="仿宋_GB2312" w:hAnsi="仿宋_GB2312" w:eastAsia="仿宋_GB2312" w:cs="仿宋_GB2312"/>
          <w:b/>
          <w:bCs/>
          <w:highlight w:val="none"/>
          <w:lang w:val="en-US" w:eastAsia="zh-CN"/>
        </w:rPr>
        <w:t>县域综合交通现状</w:t>
      </w:r>
      <w:bookmarkEnd w:id="47"/>
      <w:bookmarkEnd w:id="48"/>
      <w:bookmarkEnd w:id="49"/>
      <w:bookmarkEnd w:id="50"/>
      <w:bookmarkEnd w:id="51"/>
      <w:bookmarkEnd w:id="52"/>
      <w:bookmarkEnd w:id="53"/>
      <w:bookmarkEnd w:id="54"/>
      <w:bookmarkEnd w:id="55"/>
      <w:bookmarkEnd w:id="56"/>
    </w:p>
    <w:p>
      <w:pPr>
        <w:bidi w:val="0"/>
        <w:rPr>
          <w:rFonts w:hint="eastAsia" w:ascii="仿宋_GB2312" w:hAnsi="仿宋_GB2312" w:eastAsia="仿宋_GB2312" w:cs="仿宋_GB2312"/>
          <w:highlight w:val="none"/>
          <w:lang w:val="en-US" w:eastAsia="zh-CN"/>
        </w:rPr>
      </w:pPr>
      <w:bookmarkStart w:id="58" w:name="_Toc308270076"/>
      <w:bookmarkStart w:id="59" w:name="_Toc308008883"/>
      <w:bookmarkStart w:id="60" w:name="_Toc395963571"/>
      <w:bookmarkStart w:id="61" w:name="_Toc326652996"/>
      <w:bookmarkStart w:id="62" w:name="_Toc393375441"/>
      <w:bookmarkStart w:id="63" w:name="_Toc395343680"/>
      <w:r>
        <w:rPr>
          <w:rFonts w:hint="eastAsia" w:ascii="仿宋_GB2312" w:hAnsi="仿宋_GB2312" w:eastAsia="仿宋_GB2312" w:cs="仿宋_GB2312"/>
          <w:highlight w:val="none"/>
          <w:lang w:val="en-US" w:eastAsia="zh-CN"/>
        </w:rPr>
        <w:t>桦南县域交通网络系统已经形成，牡佳铁路、鹤大高速（G11）纵横县域南北；依饶公路（S307）横贯东西，构成县域的骨干交通网络。现有公路138条，总里程1235.285km。其中，鹤大高速（G11）86.25km；依饶公路（S307）107.75km；县道2条65.729km；乡道695.481km；村道474.249km。对外交通主要由公路和铁路构成，鹤大高速（G11）从县域西侧穿过，北可达佳木斯、鹤岗，南抵牡丹江、大连；牡佳铁路由县域中部通过，北通佳木斯，南至牡丹江。</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县域交通发展规划</w:t>
      </w:r>
      <w:bookmarkEnd w:id="58"/>
      <w:bookmarkEnd w:id="59"/>
      <w:bookmarkEnd w:id="60"/>
      <w:bookmarkEnd w:id="61"/>
      <w:bookmarkEnd w:id="62"/>
      <w:bookmarkEnd w:id="63"/>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1、县域交通规划目标</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构筑一个与桦南城市发展进程相适应的、高效率、低耗费、一体化、人性化的城市综合交通体系。构建整体化综合交通体系，依托区域和城市交通体系的有机衔接，形成安全便捷、高效畅达、优质舒适、绿色低碳的城市综合交通系统。</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2、县域交通发展策略</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（1）构建均衡完善的县域综合交通体系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注重多种交通方式的均衡发展，在公路系统快速发展的基础上，重点加强公路、铁路建设，为桦南县城市经济的发展提供交通保障。</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（2）协调县域对外交通的联系与衔接</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在城市空间发展规划的指导下，结合县域交通系统的整合，将县域内外交通系统有效地衔接起来，使内外交通形成便利快捷的联系和衔接，提高城市交通和对外交通效率。</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（3）加强交通基础设施的建设</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大力加强各类交通基础设施的建设，重点建设县域公路改造整合工程和各类客货运场站等，提升城市交通设施的服务水平，优化交通环境。</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3、公路规划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点在已有公路网骨架的基础上对县域公路系统进行合理的调整、优化，通过增加和改善东西方向的主要通道来提高县域十字型交通网络的完整性，同时也加强各个重点城镇的联系，充分依托对外交通体系的完善，打造一个良好的对外交通环境，增强同周边县市的联系，进一步提升桦南的区位优势。</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（1）高速公路</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县域内高速公路为鹤大高速公路，分别在桦南镇、曙光农场、明义乡设有出入口。现有高速公路不能完全满足桦南县经济社会发展要求。规划结合桦南县经济社会发展需要，通过优化调整高速公路网，加强与国家和本省高速公路网的衔接。增加东西向高速公路，与哈尔滨至佳木斯到同江市的高速公路（G221）分别在宏克力和集贤县相衔接，在桦南县境内形成 “十字型”高速公路网。</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（2）公路</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提升桦依公路（S514）为二级白色路面，城区段改线，使其形成县域东西向交通主通道；提升同汪公路（原先X012桦南至林口和原省道S307依兰至饶河公路调整）为二级白色路面，加强桦南与佳木斯的交通联系；提升S513佳木斯至桦南公路（原有乡道升级调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扩建桦石公路（X110）至七台河鹿山煤矿，成为依饶公路（S307）和依宝公路（S308）的连接线。</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完成客运、货运枢纽扩建，推进各乡镇公路运输基础设施建设。规划二级公路客运站1处，位于桦南县中心城区，其他各乡镇镇区（乡驻地）各规划1处三级公路客运站。规划期末公路的技术等级明显提高，抗灾能力明显增强，服务水平明显改善。</w:t>
      </w:r>
    </w:p>
    <w:p>
      <w:pPr>
        <w:bidi w:val="0"/>
        <w:rPr>
          <w:rFonts w:hint="eastAsia" w:cs="Times New Roman"/>
          <w:highlight w:val="none"/>
        </w:rPr>
      </w:pPr>
      <w:r>
        <w:rPr>
          <w:rFonts w:hint="eastAsia" w:ascii="仿宋_GB2312" w:hAnsi="仿宋_GB2312" w:eastAsia="仿宋_GB2312" w:cs="仿宋_GB2312"/>
          <w:highlight w:val="none"/>
          <w:lang w:val="en-US" w:eastAsia="zh-CN"/>
        </w:rPr>
        <w:t>完善加油加气设施建设，针对局部交通密集区域增设加油加气设施。规划新增加油站12处。其中桦南县中心城区规划新增加油站8处；梨树乡东祚村县乡道处新增1座加油站；闫家镇大张村县乡道处新增1座加油站；S514省道靠近处土龙山镇新增1座加油站；鹤大公路辅路靠近共和水库旁新增1座加油站。</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4、铁路规划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规划至2035年，结合牡佳铁路既有线电气化改造，完善相应配套设施。</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保留现状位于桦南县中心城区、闫家镇、孟家岗镇的铁路客货运站场，并完善配套设施建设。</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新建桦南东高铁站，佳牡高铁线路起于既有牡丹江站，止于既有佳木斯站，途径桦林东、林口南、鸡西西、七台河西、桦南东、双鸭山境内。工程线路全长374．994公里，其中新建正线370．962公里，工程建设等级为客运专线，全线采用全封闭、全立交设计，电力牵引，设计行车速度250公里小时。正线采用有砟轨道，长度超过3公里隧道及隧道群地段采用板式无砟轨道。规划期末铁路的客运能力明显提高，服务水平能力明显增强，配套设施明显完善。</w:t>
      </w:r>
    </w:p>
    <w:p>
      <w:pPr>
        <w:pStyle w:val="4"/>
        <w:bidi w:val="0"/>
        <w:rPr>
          <w:rFonts w:hint="eastAsia" w:cs="Times New Roman"/>
          <w:highlight w:val="none"/>
          <w:lang w:val="en-US" w:eastAsia="zh-CN"/>
        </w:rPr>
      </w:pPr>
      <w:bookmarkStart w:id="64" w:name="_Toc5353"/>
      <w:r>
        <w:rPr>
          <w:rFonts w:hint="eastAsia" w:cs="Times New Roman"/>
          <w:highlight w:val="none"/>
          <w:lang w:val="en-US" w:eastAsia="zh-CN"/>
        </w:rPr>
        <w:t>第三节 县域基础设施规划</w:t>
      </w:r>
      <w:bookmarkEnd w:id="64"/>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供水工程规划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1、水资源状况</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桦南县水资源较为丰富，县内河流属松花江水系，较大河流有12条，另有山溪、泡沼、坑塘200多处。全县年总水量可达5.80亿 立方米，其中地表径流量为2.12亿 立方米，地下水可开采利用量为3.68亿立方米。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（1）地表水资源</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向阳山水库位于桦南县八虎力河支流柳树河与小八虎力河的交汇处，距中心城区7km。是一座以防洪、灌溉为主，兼顾养鱼、发电、旅游等多年调节综合利用的大型水库枢纽工程。设计总库容15700万 立方米，兴利库容7350万立方米，死库容550万立方米，调洪库容9920万 立方米。水库标准按百年一遇洪水设计，两千年一遇洪水校核，汛前限制水位169.20米，水库工程规模为大（Ⅱ）型，主要建筑物按二级标准设计。</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共和水库位于中心城区北25km，明义乡共和村东北1.5km处，因靠近共和村而得名。是一座以防洪、灌溉为主兼养鱼、旅游等综合利用效益的一座中型水库。核定为三等水利工程，主要建筑物按三级标准设计，水库按50年一遇洪水设计，500年一遇洪水校核，以最大可能降雨和洪水，做为保堤标准进行复核。水库死水位141.00米，相应库容为290万 立方米；兴利水位146.88米，相应库容为3183万 立方米；校核洪水位147.44米，相应库容为3590万 立方米；设计洪水位146.90米，相应库容3190万立方米。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金沙水库位于金沙乡后金沙村1km处，因拦蓄松木河支流金沙河水而得名。是一座以防洪、灌溉为主，兼顾水产养殖的小（Ⅰ）型水库。</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该水库按20年一遇洪水标准设计，200年一遇洪水标准校核。校核洪水位104.8米，相应库容为389万 立方米；设计洪水位103.6米，相应库容为256万 立方米；兴利水位102米，兴利库容为119万 立方米；死水位99米，死库容19.9万立方米。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团结水库位于明义乡永明村西南，拦蓄来财河支流双龙河水。是以防洪、灌溉为主，兼顾水产养殖的小（Ⅰ）型水库。</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该水库按20年一遇洪水标准设计，200年一遇洪水标准校核。总库容230万 立方米，兴利库容为69万 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八一水库位于中心城区东25km，石头河子镇八一村东，以村取其库名。拦截七虎力河上游右岸支流来水，集水面积20.3平方公里。是以防洪、灌溉为主，兼顾水产养殖、旅游的小（Ⅰ）型水库。</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该水库按20年一遇洪水设计，200年一遇洪水校核。总库容106.3万 立方米，设计洪水库容59.5万 立方米，兴利库容53.4万 立方米，死库容7.85万 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柳河水库位于石头河子镇七道沟村东3km处，拦蓄七虎力河支流柳河水，集水面积为32 平方公里。是一座以防洪、灌溉为主，兼顾水产养殖、旅游的小（Ⅰ）型水库。</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该水库按10年一遇洪水设计，50年一遇洪水校核。总库容100万 立方米，死水位98.0米，水深2米，相应死库容为3.9万 立方米；兴利水位103.2米，相应兴利库容70.12万 立方米。设计洪水位103.0米，相应设计库容为69.7万 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新富水库位于大八浪乡新富村北2km处，大鲜干渠南侧，蓄桃山水库和倭肯河来水，是一座补水、水产养殖兼旅游垂钓的平原水库，总库容40万 立方米。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桦南县境内流域面积在70平方公里以上的河流有12条。较大的河流有倭肯河、七虎力河、八虎力河及松木河。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 xml:space="preserve">倭肯河是松花江支流，是桦南、勃利、依兰县三县界河，发源于完达山脉西北侧的阿尔哈山。在境内的完达山余脉冷寒宫流入。上流由正身河、金沙河、窝棚河汇合而成，全长305km。流经桦南县长度74km，流域面积为278 平方公里，径流量0.34亿 立方米。河流从大八浪乡东南入境，经闫家镇、土龙山镇最后在依兰县城东北约1km的降龙屯汇入松花江。倭肯河水面宽20米～80米，枯水期水深1.5米～2米，平水期5米左右，洪水期达8米～9.5米，河底为泥沙、细沙和卵石。上游河床较窄，下游河床较宽。县域内的七虎力河、八虎力河、松木河3条一级支流分别汇入本河。在七台河境内倭肯河上建有大型桃山水库，起到控制水源和调洪作用。 </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七虎力河是倭肯河右岸的一支流，发源于完达山脉阿尔哈山，由七星砬子西入境，由东向西横贯全县，流经桦南县84km。流域面积1055平方公里，径流量1.87亿 立方米。七虎力河河道弯曲，河床狭窄，宽为15米～20米，最窄处仅5米左右，水流不稳，正常流量7 立方米/秒。河两岸滩地坡降为1/2000至1/3000。</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八虎力河是倭肯河右岸一大支流，发源于完达山脉阿尔哈山。流经桦南县长110km，河宽25米～40米，流域面积1260 平方公里，径流量为2.23亿 立方米。最大洪水流量120  立方米/秒，最小流量0.5  立方米/秒，正常流量8 立方米/秒左右。洪水期水深在2.0米左右，枯水期水深1.5米，平水期水深2.0米。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松木河是倭肯河右岸的支流之一，全长63km，流域面积480 平方公里，径流量0.85亿 立方米。枯水期水深1.2米，平水期水深1.5米，洪水期水深2米～2.3米。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（2）地下水资源</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地下水因山区丘陵漫岗多而不够丰富。平洼区，即河谷地带地下水资源丰富，地下水埋深2米～9米，含水层厚度30米～40米。深井涌水量可达1000～3000t/d，沿河适于打补井水。丘陵漫岗及山区，地下水储量较少，不存在较厚地下储水层，只有岩石裂隙水可采。一般埋深27米～30米，个别地区地100米以上。丘陵区与山区不同的是涌水量有差异，山区单井涌水量只有丘陵区的10%～30%。全县地下水总储量为21.68亿 立方米，常年可开采利用量为3.68亿 立方米，地下水水质良好，适用于灌溉用水工业用水和生活用水。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2、供水现状</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桦南县各乡镇供水水源皆为地下水，全县自来水普及率现状达到70%，其中各乡镇政府所在地及行政村自来水普及率达到70%～90%。</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3、水源规划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依据水源、地形等因素因地制宜的选定饮水安全工程规划模式，工程措施既要保证供水水质和便于管理，又要利于工程长期良性运行。</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远期县域各乡镇的供水水源仍为地下水源，中心城区供水水源为地下水源和地表水源相结合，建立净水厂，水质经分析后决定处理方式。农村可采用城镇管网延伸集中供水模式、联村集中供水工程、单村集中供水工程解决供水安全问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农村饮水区内确实无达标的水源可以利用的情况下，根据水源的水质情况、供水规模等，选择适宜的水处理方式及处理设备，供水水质必须符合《生活饮用水卫生标准》后方可供给居民生活用水。</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4、水源保护及水质监测体系建设</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水源保护是饮水安全重要保障，因此应加大力度对饮用水水源进行保护，依据《饮用水保护区划分技术细则》建立水源保护区及准保护区，由地下水供水的水源保护区应在水源井周围10m的范围内不得设置生活居住区和禽畜养殖场，渗水的厕所、渗坑，不得堆放垃圾、粪便、废渣或铺设污水管道，应保持良好的卫生状况及绿化。地表水保护区根据水源的位置，参考相关的技术规范进行划定。水厂供水和用水点的水质监测，对取水、制水、供水实施全过程管理，及时掌握城乡饮用水水源环境、供水水质状况，并定期检查。对检查不合格的供水单位，严格按照有关规定进行查处，并督促限期整改。各供水单位建立以水质为核心的质量管理体系，建立严格的取样、检测和化验制度，按国家有关标准和操作规程检测供水水质，并完善检测数据的统计分析和报表制度。</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地下水开发利用规划还要与国民经济、社会发展、生态环境的保护需要相适应，与经济建设的重大战略布局相统一，与可持续发展的理论和实践相结合。统筹考虑水资源的开发、利用、治理、配置、节约和保护等各个方面，从全面和系统的观点出发，采取综合措施，使工程建设与水资源优化配置相结合，并且积极保护、高效利用、有效管理密切配合。</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5、灌区规划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结合现状大中型灌区管理站分成四大灌区，即向阳山灌区、七虎力灌区、共和灌区和大鲜灌区。其中向阳山灌区主要包括桦南镇、孟家岗镇、驼腰子镇、森工，面积约1988.90平方公里；共和灌区主要包括明义乡、金沙乡、土龙山镇、农垦，面积约1081.39平方公里；七虎力灌区主要包括石头河子镇、梨树乡，面积约580.82平方公里；大鲜灌区主要包括大八浪乡、闫家镇，面积约594.23平方公里。</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遵循优先利用地表水、合理开发地下水的，优先满足城乡生活用水，统筹农业、工业、生态环境以及航运等用水需要，以促进各业协调发展，实现综合效益最大。逐步完成向阳山灌区续建配套与节水改造工程、大鲜灌区续建配套与节水改造、共和灌区配套与节水改造工程、七虎力中型灌区配套与节水改造工程、旱田节水灌溉项目、孟家岗镇黎明侵蚀沟水土流失治理工程等。</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6、应急措施</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桦南县相关部门逐步建立健全突发事件应急管理机制，制定从水源预警到管网运行管理的全方面应急措施。逐步建立健全供水信息化系统，以及时发现突发事件并提供应急事件处理建议，快速有效的进行处理。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水源预警系统：加强镇内原水交水点的水质监测工作。针对水库水质特点，设置水质在线监测仪表，由桦南自来水公司监控水质变化情况，缩短应急反应时间；依托桦南县原水预警系统，与桦南县水务公司等相关单位建立公共信息平台。建立快捷、稳妥、可靠的通信网络，实现原水预警信息共享。</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水厂应急措施：引进先进设备，完善投加粉末活性炭、高锰酸钾和沸石等预处理设施。桦南自来水公司应在实际运行中探索应急药剂在各种水质情况下的投加量；积极筹备深度处理工程。在提高饮用水水质标准的同时，提高水厂工艺流程的安全性，增强水厂应对水质变化的能力；充分利用桦南县集中供给清水系统。在水厂不能正常运行的情况下，及时向桦南水务有限公司申请供给清水，保障镇内社会生产、生活的正常进行。</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管网应急措施：有计划分步、分期实施管网改造计划，改善管网输配水水质，使用户饮用的水质与水厂出厂的水质相近；消除易爆管段，降低管网漏损率，提高管网运行的安全可靠性；改善管网服务压力，提高输水能力，降低管网运行能耗；引进先进的管道探伤及测漏设备，定期对城市管网进行监测与维护，防患于未然，力争杜绝事故隐患；自来水公司应不断充实管网抢修队伍，学习先进的管道修复技术，缩短维修时间，提高抢修效率。管网抢修队应定期或不定期进行事故抢修演习，通过模拟现场环境，以实战锻炼队伍。</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排水工程规划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1、排水工程规划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（1）规划排水体制</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根据桦南县域各乡镇地表水系特点，以及近年国家环境保护力度加大、污水必须处理才能排放的相关政策，为降低污水处理成本。</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在城镇污水处理上，应该坚持污染治理与生态环境保护并重、集中处理与分散处理相结合，以分散处理为主的原则，坚持生活污染治理与农村生产相结合，采用自然生态处理与人工处理技术相结合的技术。</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中心城区及县域内各乡镇排水体制均采用分流制。</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（2）规划污水量计算</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根据《城市排水工程规划规范》，污水量宜根据平均日综合用水量乘以污水排放系数确定。按日平均生活污水量的85％、工业废水量的85％估算城市规划年总污水量。合流制污水截留倍数取1。</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（3）污水处理厂</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期内县域中心城区、土龙山镇、孟家岗镇、明义乡、石头河子镇、驼腰子镇、闫家镇、大八浪乡各修建一座污水处理厂或氧化塘，与周边乡镇共享，处理方式根据具体情况确定，雨水可就近排入附近水体。污水处理后水质达到国家《污水综合排放标准》（GB 8978-1996）后可以排入附近水体。</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污水处理设施建设规模应遵循以下几项原则，综合考虑确定：①满足城镇总体规划的要求；②按城镇自然地理地形地貌特征划定汇水区；③避免远距离输水，就近再生处理、就近排放、就近利用；④充分利用城镇近期投资能力；⑤污水收集系统与污水处理设施配套。</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2、涝区规划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（1）总体策略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蓄排结合、综合协调。建立对雨水径流全过程合理管控的综合防涝体系，工程措施与生态治理有机结合，其核心内容是“蓄、滞、渗、净、用、排”。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因地制宜、重点突破。根据内涝风险的轻重缓急，以积水频发、影响重大的积水点改造为突破口，尽快形成防涝能力。</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（2）综合防涝措施</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桦南县城区内按照20年一遇暴雨时所模拟出来的各易涝点积水问题，拟利用新建的下凹式绿地解决城区内涝水的调蓄问题，从而使桦南县城区排水防涝系统标准能够达到20年一遇。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市内涝防治设施应保证能够在防洪设施最高设计水位下正常工作，内涝防治设施下泄水量不影响防洪设施的正常运行。统筹防洪水位和雨水排放口标高，保证在最不利条件下不出现涌水及倒流，确保城市排水通畅。</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河道系统作为陆域排水防涝系统的下游边界条件，需保证高重现期长历时降雨排水防涝系统下泄水量的接纳与排除。河道排涝问题出了涝水排除时间外，更关注河道最高水位，但由于城区调蓄水体的调节能力，主要还是与一定历时内的雨水量有关。</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河道设计应采用陆域排水防涝设施的水力计算成果作为上游边界条件，当河道调蓄能力较小时，河道设计就应尽可能与上游排水防涝系统的排水标准相一致。在河道有一定的调蓄能力情况下，河道排水能力可小于上游排水防涝系统最大排水流量，但应满足一定标准暴雨所形成涝水的要求，并使河道水位控制在允许的标高下。因此，当地水利部门在做城市防洪规划与河道治理时，需充分考虑本次规划的城区防涝设施重现期标准、排出口位置及涝水量，确保河道治理后可以满足城市的涝水排放要求。</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供电工程规划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1、电网现状概况</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域现有220kV变电所1座，110kV变电所3座，110kV线路5条，总容量122MVA，总长度94.59km；35kV变电所11座，总容量76.3MVA，35kV线路11条，总长度180.34km。地方热电厂一座，装机容量3×6MV，经35kV线路至220kV芦家变与国网并列运行。10kV高压配电线路27条，总长度1023.67km；全县通电率100%。电网供电量1.75亿kWh，最大负荷为26.98MW，110kV及以下线损率为4.33%，10kV及以下线损率为6.73%，综合电压合格率为99.60%，供电可靠率99.99%。</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2、规划用电负荷预测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规划采用年平均增长率法对用电量进行预测，根据历史最大负荷利用小时数数据，选取社会最大负荷利用小时数，由用电量推算用电负荷。</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用电量预测（年平均增长率法）：县域各用电分区用电量年度变化趋势明显，根据历史用电量数据结合县域用电发展实际情况，计算县域供电结果。则2025年县域用电量2.41亿kWh/a，2035年县域用电量为3.60亿kWh/a。</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根据用电量预测结果，选取年最大负荷小时数为3000小时，则2025年县域用电负荷为48.91MW，2035年县域用电负荷为92.50MW。县域用电负荷预测结果见下表。</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3、供电设施规划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规划县域由1座220kV变电站即芦家变作为主电源，输电线路由佳木斯电业局220kV变电站接入。驿马山风电场、北架风电场、横岱山风电场、黄团岭风电场、北安屯风电场、长寿山风电场为桦南县附属电源。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规划县域110kV变电站4座，分别为110kV桦南变、110kV孟家岗变、110kV桦西变、110kV桦水变。规划35kV变电站14座，保留现状35kV变电站11座，分别为35kV桦林变 、35kV种籽园变 、35kV土龙变、35kV梨树变、35kV闫家变、35kV向阳山变、35kV明义变、35kV幸福变、35kV驼腰子变、35kV庆发变、35kV曙光变，规划新建3座，35kV公心集变、35kV金沙变、35kV大八浪变，其中35 kV曙光变为农垦专用用户变。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据区域的电力预测，保障供电的安全，提高电网的稳定性，对于穿越县域的高压电网，影响县域景观和商业气氛的部分采用高压电网改线的方式，其它线路采用架空线路。为了保证稳定可靠的供电能力。使得电网运行相对灵活，层次分明，结构清晰，可扩展性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规划县域220kV电力线走廊宽度不少于50m，110kV电力线走廊宽度不少于30m，35kV电力线走廊宽度不少于25m，高压走廊结合绿化及防护林带建设。</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燃气工程规划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1、现状概况</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桦南县现有液化石油气储配站1座，位于城区东南；现已建设CNG储配站1座，位于城区南环路南侧，日平均供气能力为7.2万 立方米，每月用气0.03万 立方米，现状供气人口约800人。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县域其他乡镇主要采用瓶装液化石油气，各乡镇目前都没有铺设燃气管道，未形成集中的管道燃气供应系统。</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2、存在问题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（1）液化石油气供应设备陈旧，安全检测、消防等设施不完善。</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（2）燃气普及率低。</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3、气源规划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县域近期以液化石油气为主，以天然气管道供气为辅；远期逐步实现天然气管道供气，管道燃气气源近期为佳木斯CNG加气母站，远期采用黑龙江省中东部高压天然气管网工程的管输天然气。管道供气范围主要为中心城区、重点镇及其他有条件乡镇，在未使用天然气管道供气的乡镇及农村地区使用瓶装液化石油气，鼓励发展秸秆、稻草等生物质能，推广沼气等清洁能源利用技术。</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4、燃气设施及管网</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规划在桦南县中心城区建一座CNG储配站，位于南环路南侧，远期建设天然气门站，满足中心城区用户用气需求。规划远期天然气中压管道延伸至周边紧邻的城镇化地区，实现区域供气的一体化。</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其余镇区设液化石油气瓶装供应站。规划区内，随着管道天然气用户的增加，液化石油气用户数量将逐步减少，因此可设置液化石油气瓶装供应站供应不具备天然气管道气化的居民和工业用气。</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第五条 供热工程规划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1、现状概况</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桦南县乡镇的供热方式以居民住宅使用火炉、土暖气、火炕分散取暖为主，局部的公共建筑和住宅采用独立的小锅炉房供给。</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2、存在问题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（1）集中供热热化率不高；</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（2）供热面积不能满足居民的需求；</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（3）锅炉吨位小、设备落后、供热效率较低、能源浪费、大气污染严重。</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（3）热负荷预测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由于工业用热随工业企业的性质、设备等不同而没有统一标准的固定指标，所以本次规划以解决民用采暖、热水为主，工业用热根据入驻企业需求在工业区或企业内部自行考虑。</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3、热源规划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中心城区以城区东侧热电厂和南侧区域锅炉房为热源，县域其他各乡镇以集中供热锅炉房作为热源。提高集中供热热化率，完善锅炉设备，调整供热能源结构，减少能源浪费，降低空气污染。</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第六条 环卫设施规划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1、现状概况</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生活垃圾的成份比较复杂，从组成上看大致分为三类，即有机物、无机物和可回收废品。桦南县的环境卫生管理机构为市政环卫处，负责全镇的垃圾清扫保洁工作。随着桦南县近两年对环卫设施的投入，环卫处现有5t压缩垃圾运输车6辆，已经基本能够满足垃圾收运系统需要。</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域内现有垃圾处理场一处，已建成并投入使用，选址于桦南县规划边界东南1.3km，S307东侧1.2km，距离幸福村3队东南侧0.8km，双合村西南侧1.1km，总占地面积9.67hm2。该工程采用卫生填埋方式，填埋库区采用双层人工合成材料防渗衬层工艺，渗滤液收集后，采用两级DTRO处理工艺，达到GB16889-2008中污染物排放标准后排放。日处理生活垃圾150t，总库容为83万 立方米。其他乡镇则在乡镇内寻找垃圾填埋地点自行处理。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（二）规划原则</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1．坚持“全面规划、合理布局、清洁城镇、化害为利、造福人民”的方针。</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2．以治理县域垃圾、粪便污染为中心，科学地确定环卫基础设施的发展项目、标准和规模，形成高效完善的城镇环卫体系。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（三）规划目标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加强县域环境卫生设施建设，逐步实现清洁作业和垃圾收运机械化。垃圾收运做到日产日清，为城镇居民创造一个清洁、卫生、优美的生活和工作环境。</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生活垃圾无害化处理率达到100％，粪便无害化处理率达90％，实现生活垃圾处理无害化、资源化、减量化的目标。</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近期实现生活垃圾的分区收集、分类运输、分类处理和分类处置。远期生活垃圾实行袋装化分类收集，可分为两类：一类为可以回收利用，二类为可以填埋。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生活垃圾清运率达到90％。</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（五）环卫设施规划</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 xml:space="preserve">至2035年，县域总垃圾产量为422.4t/d，保留中心城区垃圾处理场，重点镇各规划一处垃圾处理场，其它各乡镇配建垃圾转运站，集中处理县域各种生活垃圾。 </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（六）垃圾收运处理模式</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1．生活垃圾处理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城镇生活垃圾采取分类（袋装）收运、密封转运、卫生填埋、多种处理技术相结合的生活垃圾处理系统。</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规划收运方式：</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逐步实现垃圾混合袋装收集→垃圾房（桶）→垃圾转运站→垃圾处理场的混合收集为分类收集。垃圾清运采用汽车密封运输，各垃圾收集点、垃圾转运站经分类、压缩，由汽车运至垃圾处理厂处理，经进一步分类后，对其中可回收的废品，作为资源回收利用。生活垃圾以卫生填埋为主、采用低碳环保的准好氧填埋技术。</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2．粪便处理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粪便按收集方式分为两类，一类通过这些污水管网进行收集，另一类通过人工储运进行收集。根据城镇建设和市政建设的发展，第一类将覆盖全部的生产生活区域，粪便纳入污水处理系统处理，实现排放管道化，处理无害化。第二类来源于公共厕所，粪便运输实现机械化、密闭化运至污水处理厂进行处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3．餐厨垃圾</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餐厨垃圾（泔水）处理可采用成套设备生产线，进行物料分选、压榨、消毒灭菌、干燥、粉碎、筛选和油水分离等，生产出用于饲养家禽、家畜等的高蛋白饲料、饲料添加剂和工业用的动植物油脂。餐厨垃圾也可直接封闭出售给饲养场，实现资源的再利用。</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4．工业及建筑垃圾</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工业垃圾要以综合利用为主，不能利用的由主管工业垃圾相关部门清运和处理，不得随意随地倾倒。建筑垃圾应加强资源物质的可回收利用，回收后的废品进行填埋。尽可能就近用于地基和路基填土等工程，或由环境卫生部门有偿代运。</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5．医疗垃圾</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医疗垃圾的收集、运输和处理应由县级环卫部门集中收集统一处理，医疗单位和部门不得私自处理。医疗垃圾运输应遵循固定运输线路、避开居民集中区域的原则，并利用专用容器来收集储存，对运输车辆及容器定期消毒和清洁，逐步实现医疗垃圾收集容器化、运输密闭化、作业规范化。</w:t>
      </w:r>
    </w:p>
    <w:p>
      <w:pPr>
        <w:pStyle w:val="4"/>
        <w:bidi w:val="0"/>
        <w:rPr>
          <w:rFonts w:hint="eastAsia" w:cs="Times New Roman"/>
          <w:highlight w:val="none"/>
          <w:lang w:val="en-US" w:eastAsia="zh-CN"/>
        </w:rPr>
      </w:pPr>
      <w:bookmarkStart w:id="65" w:name="_Toc19930"/>
      <w:r>
        <w:rPr>
          <w:rFonts w:hint="eastAsia" w:cs="Times New Roman"/>
          <w:highlight w:val="none"/>
          <w:lang w:val="en-US" w:eastAsia="zh-CN"/>
        </w:rPr>
        <w:t xml:space="preserve">第四节 </w:t>
      </w:r>
      <w:r>
        <w:rPr>
          <w:rFonts w:hint="eastAsia" w:cs="Times New Roman"/>
          <w:highlight w:val="none"/>
          <w:lang w:val="en-US" w:eastAsia="zh-CN"/>
        </w:rPr>
        <w:fldChar w:fldCharType="begin"/>
      </w:r>
      <w:r>
        <w:rPr>
          <w:rFonts w:hint="eastAsia" w:cs="Times New Roman"/>
          <w:highlight w:val="none"/>
          <w:lang w:val="en-US" w:eastAsia="zh-CN"/>
        </w:rPr>
        <w:instrText xml:space="preserve"> HYPERLINK \l "_Toc26539851" </w:instrText>
      </w:r>
      <w:r>
        <w:rPr>
          <w:rFonts w:hint="eastAsia" w:cs="Times New Roman"/>
          <w:highlight w:val="none"/>
          <w:lang w:val="en-US" w:eastAsia="zh-CN"/>
        </w:rPr>
        <w:fldChar w:fldCharType="separate"/>
      </w:r>
      <w:r>
        <w:rPr>
          <w:rFonts w:hint="eastAsia" w:cs="Times New Roman"/>
          <w:highlight w:val="none"/>
          <w:lang w:val="en-US" w:eastAsia="zh-CN"/>
        </w:rPr>
        <w:t>综合防灾</w:t>
      </w:r>
      <w:r>
        <w:rPr>
          <w:rFonts w:hint="eastAsia" w:cs="Times New Roman"/>
          <w:highlight w:val="none"/>
          <w:lang w:val="en-US" w:eastAsia="zh-CN"/>
        </w:rPr>
        <w:fldChar w:fldCharType="end"/>
      </w:r>
      <w:r>
        <w:rPr>
          <w:rFonts w:hint="eastAsia" w:cs="Times New Roman"/>
          <w:highlight w:val="none"/>
          <w:lang w:val="en-US" w:eastAsia="zh-CN"/>
        </w:rPr>
        <w:t>减灾规划</w:t>
      </w:r>
      <w:bookmarkEnd w:id="57"/>
      <w:bookmarkEnd w:id="6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抗震规划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1、抗震设防标准</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桦南县县域按照地震烈度Ⅵ度设防。</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2、抗震减灾指挥系统</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立全县地震减灾指挥系统，负责制订地震应急方案，组建和培训应急救援队伍，建立健全指挥部的各项运行机制，统一指挥人员疏散、物资转移和救灾。规划各级指挥中心与各类救护中心结合，配备双线通讯线路及无线通讯系统。</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3、避震疏散通道与疏散场地</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避震疏散通道原则上应使居民的疏散救护便捷安全，保证主要道路畅通无阻。规划避震疏散通道主要利用城镇的主次干道及城镇对外交通设施相联系的骨干道路，形成通畅的快速疏散体系。规划管理中要对沿线建筑控制高度和建筑后退距离严格审批，以保证建筑物倒塌后仍能通行。</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规划的城市公园、广场、运动场及学校操场是地震时的主要疏散场地，应加以严格保护。</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桦南老街里改建时，应充分考虑防震的要求，降低建筑密度和人口密度，增加和拓宽支路，增加绿地和广场，以有效提供避震疏散用地，对低质量的成片建筑进行改造，以尽可能满足防震要求。</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4、生命线系统及建筑设防</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重点加强对中心城区供水、电力、交通、电信、燃气、医疗救护、粮食供应、消防等城市生命线系统的防护技术措施。</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5、次生灾害源的控制管理</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对生产、存放大量易燃、易爆品的单位，在规划中应严格安排在远离城镇生活区的地带，位于城镇主导风向上风向和人口密集地区的灾害源要迁至较适宜地段。</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消防规划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1、消防站布局</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接到报警5分钟内可以达到责任区边缘和每个消防站责任区面积4平方公里～7平方公里的标准进行布置。中心城区保留现状一级普通消防站1座，规划新增2座一级普通消防站，1座二级普通消防站。重点镇各设置1座二级普通消防站，一般镇根据《乡镇消防队标准》（GA/T998-2012）规划乡镇专职消防队。</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2、消防给水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规划采用以城市给水管网系统为主，其它人工和天然水源为辅的消防供水方式。</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中心城区按照每1平方公里设置1个消防水鹤，各乡镇按平均每2.5万人口，增设1个消防水鹤，在工业区等大型企业结合厂区改造建设消防水池。</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3、消防通道</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加快城镇道路网建设，增加道路密度，改善消防通道所依赖的大环境，近期结合旧城改造和城中村改造，提高车辆通行能力，保证消防车辆的通行。</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4、重点消防地区分布</w:t>
      </w:r>
    </w:p>
    <w:p>
      <w:pPr>
        <w:bidi w:val="0"/>
        <w:rPr>
          <w:rFonts w:hint="eastAsia" w:ascii="黑体" w:eastAsia="黑体" w:cs="黑体"/>
          <w:color w:val="000000" w:themeColor="text1"/>
          <w:sz w:val="36"/>
          <w:szCs w:val="36"/>
          <w:highlight w:val="green"/>
          <w14:textFill>
            <w14:solidFill>
              <w14:schemeClr w14:val="tx1"/>
            </w14:solidFill>
          </w14:textFill>
        </w:rPr>
      </w:pPr>
      <w:r>
        <w:rPr>
          <w:rFonts w:hint="eastAsia" w:ascii="仿宋_GB2312" w:hAnsi="仿宋_GB2312" w:eastAsia="仿宋_GB2312" w:cs="仿宋_GB2312"/>
          <w:highlight w:val="none"/>
          <w:lang w:val="en-US" w:eastAsia="zh-CN"/>
        </w:rPr>
        <w:t>中心城区的行政办公、商业金融、广播邮电、医疗卫生、文化教育、大中型企业、化工产品储备库、粮库、液化气站等设施。</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防洪工程规划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桦南县中心城区防洪标准为50年一遇。</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规划八虎力河防洪标准中心城区段按50年一遇设计，其他城镇段按20年一遇设计，农田防洪标准为10年一遇。七虎力河、倭肯河、松木河防洪标准城镇段按50年一遇设计，其他堤段按20年一遇设计。</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向阳山水库（大Ⅱ型）防洪标准为50年一遇洪水设计；共和水库（中型）防洪标准为20年一遇洪水设计；其他（小Ⅱ型）水库防洪标准为10年一遇洪水设计。</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桦南县城区、乡镇建成区及旅游风景区的主要河流要疏通河道，在各河流下游预留足够的分洪滩涂。河流沿岸的乡镇、村庄要求建设防洪堤坝和排涝站，已有堤坝适当加高，使其达到防洪的校核标准。严禁各类建筑和设施阻碍河流通道和侵占泄洪河滩，同时，也要加强对洪峰期的预测，预测应准确、及时。</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规划完善桦南县域各乡镇河堤建设，按照规划设防标准加高加固两岸堤防，整治及疏通内部引水和排水河道。新建南柳树河孟家岗镇段堤防2.376公里；修建上堤引道1条及错车道1处；新建穿堤排水涵闸1座。倭肯河加高培厚堤防总长50.122公里，新建混凝土板护坡总长21.848公里，新建粘土护坡长12.585公里，建设穿堤建筑物13座。八虎力河堤防加高培厚长度48公里，新建护坡3处，新建穿堤建筑物5座，八虎力河驼腰子段治理后，保护沿岸人民的生命安全和生存环境免受洪水破坏，保护人口3.4万人，保护农田4.8万亩。共和水库除险加固，对原大坝进行原标准加固，增加1米高防浪墙，大坝迎水坡、背水坡导流沟拆除重建。大坝粘土心墙部位修建防渗墙等，本工程规模为Ⅲ等3级，中型水库除除加固。小八虎力河清淤长度9公里，新建堤防长度17公里，新建穿堤建筑物6座。</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人防工程规划</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1、重点防护目标</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指挥控制系统：党、政、军指挥机关，广播电视发射中心、电信枢纽中心、各级指挥机关。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城镇生命线系统：变电站、燃气公司、液化气站、净水厂、医疗机构。</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重要工业企业：在城镇经济中起骨干作用的大、中型工厂。</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重要的物资储备系统：包括物资仓库、医药仓库、生产资料仓库等。</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2、人防规划</w:t>
      </w:r>
    </w:p>
    <w:p>
      <w:pPr>
        <w:shd w:val="clea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留城人口可按30%控制。疏散分为早期疏散、临战疏散、紧急疏散三个阶段进行。人员掩蔽以就地掩蔽为主，掩蔽工程人均使用面积2m2，人防专业人员使用面积3m2。</w:t>
      </w:r>
    </w:p>
    <w:p>
      <w:pPr>
        <w:shd w:val="clea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人防工程布局要保证在空袭警报发出10min内人员全部进入为原则。规划结合公园、高层建筑、大型商场设置防空地下室。在城镇建设中，重要的建筑物及高层建筑下面按人防工事的标准设置地下室或地下停车场等。新、改建的居住区结合公建和绿地设置人防工程设施。</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充分利用城镇绿化带和非建设地区和现有的防空设施组成战略防空体系，建设一个战时物资保障工程设施。确定城镇交通主干路和次干路为疏散通道，街心花园、路边绿地、中小学操场及公园、广场等为集散地。</w:t>
      </w:r>
    </w:p>
    <w:p>
      <w:pPr>
        <w:pStyle w:val="4"/>
        <w:bidi w:val="0"/>
        <w:rPr>
          <w:rFonts w:hint="default" w:cs="Times New Roman"/>
          <w:highlight w:val="none"/>
          <w:lang w:val="en-US" w:eastAsia="zh-CN"/>
        </w:rPr>
      </w:pPr>
      <w:bookmarkStart w:id="66" w:name="_Toc4350"/>
      <w:r>
        <w:rPr>
          <w:rFonts w:hint="eastAsia" w:cs="Times New Roman"/>
          <w:highlight w:val="none"/>
          <w:lang w:val="en-US" w:eastAsia="zh-CN"/>
        </w:rPr>
        <w:t>第五节 乡村产业振兴</w:t>
      </w:r>
      <w:bookmarkEnd w:id="66"/>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优化城乡空间，构建乡村振兴新格局</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按照有利生产、方便生活、适度集中的要求，引导和调控城乡融合发展，合理确定农村新型社区和乡村建设模式、数量、布局和建设用地规模，形成分工明确、梯度有序、开放互通的城乡空间结构体系，实现空间资源有效配置。</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1、统筹城乡空间布局</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（1）强化空间用途管制</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根据国家和黑龙江省对主体功能区的要求，桦南县功能空间划分为六类。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优先城镇发展区。优先城镇发展区是根据现实条件确定的主要城镇化发展地区，整体定位为产业承载、人口集中、公共服务完备的发展中心区，包括桦南县（桦南镇）中心城区、土龙山镇建设区、孟家岗镇建设区、石头河子镇建设区、驼腰子镇建设区、柳毛河镇建设区。该类区域的主要发展方向是加强基础设施建设，提高公共服务水平，改善居民生活环境，推进基本公共服务均等化；引导产业集聚，完善产业链条，重点培育绿色食品加工制造、建材、包装产业、高新技术产业等主导产业和新兴产业，探索产城融合的新型城镇化道路，形成以产兴城，依城促产，产城一体化的发展格局，构筑宜业宜居的城镇环境。</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般城镇发展区。一般城镇发展区是指由于受到相关条件制约，城镇化发展受到一定限制的地区，整体定位为发展优势产业、集中有限人口、承接旅游服务的重点区，包括金沙乡建设区、明义乡建设区、闫家镇建设区、大八浪乡建设区、五道岗乡建设区和梨树乡建设区等。该区域的主要发展方向是限制资源浪费、环境污染型产业的发展，充分利用自身资源和优势，重点发展特色产业和文化旅游业，根据资源环境承载能力的评判，严格控制其规模扩张，原则上不再新建各类开发区和扩大现有工业开发区的面积。</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基本农田保护区。基本农田保护区是指土地利用规划中划定的基本农田保护区。农业生产空间面积占国土总面积比例不小于35%，其中基本农田面积不小于农业生产空间的50%。该区域的主要发展方向是为绿色食品加工业、农产品加工业提供充足的原料，完善农田基地和水利设施建设。重点发展玉米、大豆、水稻等主粮生产和油豆角、双孢菇、蓝莓、烤烟、蔬菜等特色农业；建设农业综合开发试验区，保护耕地，集约开发；加强农业基础设施建设，改革农业生产经营方式，显著提高农业综合生产能力、支撑服务能力和产业化水平；积极推进农业规模化水平，提高农业生产效率，大力发展高产、高效、优质、安全的现代化大农业；发展绿色（有机）食品基地建设，发展农产品深加工，加大绿色（有机）食品开发力度，拓展农村就业和增收空间；严格保护耕地和基本农田，保障农产品供给，确保粮食安全和食品安全。到2022年，全县耕地达到342万亩。</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其他农业生产区。其他农业生产区是指除基本农田保护区外的所有农业生产空间，包括农用地及农村建设用地等。该区域的主要发展方向是加强基础设施建设，完善公共服务职能，统筹城乡发展，改善农民生活环境，保障农民生活水平；引导农业人口向中心村或周边城镇集聚；努力建设农村居民安居乐业的美好家园，社会主义新农村建设的示范区。至2022年，引导农业生产空间内人口向中心村或周边城镇集聚，引导人口向城镇发展空间集聚。</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态经济区。生态经济区是指以生态功能为主，同时兼具生产功能（如林下经济、生态旅游）的地区，定位为桦南县乃至佳木斯市的生态功能承载区。该区域主要发展方向是严格控制产业项目的性质、规模和开发强度，在资源环境可承载的范围内，科学有序开发林木及矿产资源；适当发展林下经济、生态旅游、休闲养老等生态经济产业，打造生态环境品牌；完善旅游景区的基础设施，保证旅游体验质量。</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态保护区。生态保护区是指风景旅游区、自然与历史文化遗产保护区、生态安全控制区、水域及自然保留地等在内的禁止一切开发及生产活动的地区。针对不同的草地、林地退化状况采取不同的恢复性保护措施；加强流域沿线的保护，禁止河岸过度开发、建设，加强水土保持。该区域主要发展方向是加快人口转移至农业生产空间和城镇生产空间；推进生态修复，针对不同的草地、林地退化状况采取不同的恢复性保护措施；保护自然生态环境、保护生物多样性；禁止一切工业化、城镇化开发；发掘自然文化资源，打造生态旅游胜地；严格控制旅游规模与形式，禁止旅游活动对景物、水体、植被及其他野生动植物资源等造成损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六大空间为基础，根据国家和黑龙江省对主体功能的要求，划定重点城镇发展边界、永久基本农田及生态保护三大红线。重点城镇开发边界对应城镇发展空间中一般城镇发展区中的重点发展城镇开发边界，主要包括桦南县（桦南镇）中心城区、土龙山镇建设区、孟家岗镇建设区、石头河子镇建设区、驼腰子镇建设区、金沙乡建设区、明义乡建设区、闫家镇建设区、大八浪乡建设区、五道岗乡建设区、柳毛河镇建设区和梨树乡建设区等乡镇建设区。永久基本农田红线对应农业生产空间中的基本农田保护区的边界线。生态保护红线对应生态保护空间中生态保护区边界线。</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（2）完善城乡布局结构</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构建“一心四点、三轴五区”的城镇空间格局。其中“一心”指中心城区（桦南镇），“四点”指四个重点城镇（孟家岗镇、明义乡、土龙山镇、石头河子镇），“三轴”是指一条城镇发展主轴——鹤大发展轴、以及两条城镇发展次轴——依饶发展轴、牡佳发展轴。“五区”即核心发展区、北部发展区、南部发展区、东部发展区、西部发展区。核心发展区包括桦南镇，主要发展绿色食品精深加工、机械设备制造、新型建材、商贸、旅游服务综合型城镇。北部发展区包括孟家岗镇、明义乡、金沙乡，与佳木斯市紧密联系的地区，以旅游服务、矿产经济、农林产品加工的旅游型、加工型城镇为主。南部发展区包括闫家镇、大八浪乡，是现代农业为依托的农贸型城镇。东部发展区包括石头河子镇、驼腰子镇，柳毛河乡镇以农林产品加工、矿产经济的加工型城镇。西部发展区包括土龙山镇、梨树乡，五道岗乡，与哈尔滨紧密联系，以农副产品加工、资源加工型城镇为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（3）推进城乡一体化发展</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实行城乡统筹、推进一体化发展，是贯彻落实乡村振兴战略，改变城乡二元经济结构，保证城乡在政策上实现平等、产业发展上实现互补、国民待遇上实现一致，推进城乡经济社会全面、协调、可持续发展的有效途径。</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统筹城镇与乡村发展，构建“多规合一”空间规划协调机制，开展城乡规划、土地利用规划、经济发展规划等统一工作，协调自然资源、农业、环保、城规、水务等部门规划，按空间管控、用途管控、生态管控等协调城乡发展空间，确定今后城乡统一发展的空间结构，促进城市与城镇科学布局、分工合理、协调发展。</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加快推进村庄规划编制，协调城乡资源利用与产业发展，推动村庄规划管理全覆盖。积极推进城乡基础设施、公共服务、资源能源、生态保护、环境治理等一体化进程。</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构建土地利用规划定城镇与乡村边界、城镇规划定村庄布局、村庄规划管控乡村等联动机制，积极挖掘乡村建设用地低效用地潜力，探索村庄保护与宅基地置换等建设用地指标高效利用模式。</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以城镇与村庄规划为依据，梳理规划期内建设与保护项目，明确实施主体与投资安排，建立建设项目库，成立联合规划、建设、运营团队，按县域统筹推进规划落地实施。</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2、优化乡村发展布局</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（1）高效利用乡村生产空间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进一步优化乡村生产力区域布局，以区域资源环境承载力为基准，规范乡村产业发展秩序，形成与区域资源环境承载力相匹配的乡村产业布局。严格落实永久基本农田制度，严格保护农业生产空间，确保粮食安全。立足特色资源优势、环境承载能力、人口聚集程度和经济发展条件，科学划分农村经济发展片区，切实保护农业生产区域。统筹推进农业产业园、科技园、创业园等各类园区建设，构建优势明显、集约高效的生产空间，将乡村生产活动融入区域性产业链和生产网络之中，实现农业生产的集约化、专业化。</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（2）优化布局乡村生活空间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坚持城乡统筹发展，提高乡村公共服务水平，加快交通、供水、供电、通信、信息网络等基础设施向农村延伸，推动城乡教育均衡发展，健全农村医疗卫生服务网络，提高农村养老、医疗等社会保障标准，完善农村社区服务中心功能，实现城乡基础设施共建共享、基本公共服务均等同质。尊重乡村自然环境、生态规律以及农业生产生活习惯的传统依存关系，大力推广“小规模、组团式、微田园、生态化”的建设模式，不断优化居民点规模和集聚形态。加强传统村落建筑风格的传承和保护，强化生活空间发展的人性化、多样化，构建便捷舒适的生活圈，推动田园变公园、农房变客房、劳作变体验，满足人们对田园式、慢节奏乡村生活的向往。</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（3）严格保护乡村生态空间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坚持生态优先、绿色发展，牢固树立山水林田湖草是一个生命共同体的理念，全面加强重点生态功能区保护和农村突出环境问题综合治理，探索建立休养生息制度，提升乡村生态功能，增强农业生态产品供给，提高农业生态服务能力，实现乡村自然资本加快增值。划定并严守生态保护红线，加强山水林田湖草系统治理。加强生态保护，增强水源涵养、水土保持、生物多样性等功能，保障生态安全。加强乡村环境治理，实施土地污染防治行动、水土流失治理行动、恢复工矿废弃地生态功能行动、巩固生态退耕成果行动。</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3、分区分类推进村庄发展</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（1）构建分区发展体系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过对村内建设用地布局的调整，实现村庄用地的集约化使用，促进农村地区社会经济快速与城镇接轨，实现城乡一体化发展。加大村庄公共设施、基础设施建设投入，提高生产、生活服务水平，实现村庄人居环境的整体提升。九里六村、南柳村以农业生产为基础，充分利用现有山、水环境优势，培育特色服务型产业，形成村容整洁、村风文明的集中发展型中心村。西合村以种植业为基础，依托现有的爱国主义教育基地和本地的特色文化及特产，打造红色和特色旅游线路，形成村容整洁、设施完备、服务周边面向整个地区的多功能型中心村。</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农业生产为基础，充分利用现有优势，新富村、红新村培育特色种植、特色养殖，五道岗村、大吴家村培育特色种植，八一村培育特色服务型产业，形成村容整洁、村风文明的集中发展型基层村。东胜村通过推进农业观光旅游产业的发展，群英村、红日村通过推进食用菌产业的发展，群力村、红城村、永久村、西柞村、兴中村、三合村、双龙河村、东大村、六合村、大张家村通过推进农产品生产加工业的发展，创造就业岗位，带领村民致富，实现经济发展方式的转变，达到生产发展、生活宽裕、乡风文明、村容整洁、管理民主的社会主义新农村建设目标，建设独具特色的社会主义新农村。</w:t>
      </w:r>
    </w:p>
    <w:p>
      <w:pPr>
        <w:bidi w:val="0"/>
        <w:rPr>
          <w:rFonts w:hint="eastAsia" w:ascii="仿宋_GB2312" w:hAnsi="仿宋_GB2312" w:eastAsia="仿宋_GB2312" w:cs="仿宋_GB2312"/>
          <w:highlight w:val="none"/>
          <w:lang w:val="en-US" w:eastAsia="zh-CN"/>
        </w:rPr>
      </w:pP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（2）推进村庄分类建设</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顺应乡村发展规律和演变趋势，实施“三步走”战略，到2022 年，全县生态宜居美丽乡村取得重要突破，40%的村庄基本实现农业农村现代化；到2030年，全县特色美丽乡村整体塑形，70%的村庄基本实现农业农村现代化；到2035年，桦南县全部村庄基本实现农业农村现代化，乡村美景图全面展现。考虑村庄人口规模、发展基础、服务功能等因素，将县域村庄分为示范引领型、特色发展型、改造提升型、搬迁撤并型四类发展形态，分类推进村庄建设。</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示范引领型村庄。主要指产业基础好、经济实力强、地理位置优、生态环境美的村庄，要高起点定位、高标准建设、高水平打造，建设成为全省一流的样板示范村。到2022年，示范引领型村庄要率先基本实现农业农村现代化，数量约占全县村庄数量的30%。桦南县要因地制宜打造一批城郊型、平原型、山区型等示范引领型村庄，充分发挥国家和省级文明村、旅游特色村、宜居村庄等的示范带动作用，进一步增强产业优势、环境优势、组织优势，提升经济发展水平、环境卫生水平和村容村貌水平，建设成为设施齐全、功能完善、环境优美、村容整洁、产业兴旺、健康文明、制度健全、组织有力、生活富裕的现代化新农村。</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特色发展型村庄。主要指文化资源丰富、自然风光独特、村庄风貌突出、产业特色较强的村庄，要发挥特色资源价值，加快打造文化特色型、生态特色型和产业特色型等村庄，推进文旅融合、农旅融合发展。到2030年，推进特色发展型村庄基本实现农业农村现代化，数量约占全县村庄数量的20%。充分挖掘传统村落价值，在保护基础上实现与发展的良性互动，推动传统村落振兴。强化生态风光村的打造，充分利用山景、水景、红色景观等资源，优化村庄布局，整治乡村风貌，打造宜居宜业宜游宜养的生态特色村。推进特色农业、手工业、商贸流通业等特色产业村庄发展，提升产业发展层次，推进一二三产融合，建设农业特色小镇，打造经济强村。</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改造提升型村庄。主要指产业基础薄弱、生产生活条件一般、空心化比较严重的村庄，是乡村振兴的重点和难点。以平原农业区、低山丘陵区、重要生态功能区为重点，加快农村人居环境整治，配套完善基础设施，达到美丽乡村建设标准。到2035年，全县改造提升型村庄基本实现农业农村现代化，数量约占全县的30%。加强空心村改造，对残旧房屋、废弃宅院等进行合理利用，整治维修后主要用于社区养老、社会救助等公益性设施，以及民俗展示、文化展示、乡村旅游等。加快推进垃圾、生活污水和村容村貌等的整治，加强公共服务设施和基础设施建设，不断提升人居环境。进一步强化产业培育，推进“一村一品”建设，发展优质林果、生态养殖、高效农业、乡村旅游等特色产业，激发乡村活力，提振人气。</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搬迁撤并型村庄。主要指列入城中村改造或农村新型社区建设计划的村庄、位于灾害易发区、偏远山区等特殊区域的村庄，以及不具有保留价值的空心村等，数量约占全县的20%。严格控制搬迁撤并型村庄建设用地边界，严格限制新建、扩建活动。坚持村庄搬迁撤并与新型城镇化、农业现代化相结合，依托安置新村、城区镇区、产业园区、旅游景区等区域，促进农村居民就地就近安居和转移就业。</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加快结构调整三产融合，推进乡村产业振兴</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1、加快构建农业产业体系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（1）深入调整种植业结构</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根据桦南县地形地貌多样和农林物产丰富的资源禀赋，在驼腰子镇、石河子镇大范围减少玉米种植，大力发展紫苏、白瓜、黑木耳、中草药、浆果坚果林、山野菜、森林鸡、林下猪等林下种养殖产业；在孟家岗镇、桦南镇、大八浪乡适度减少玉米面积，扩大蔬菜瓜果、大豆、杂粮杂豆、马铃薯等经济作物种植面积；在金沙乡、明义乡、土龙山镇、五道岗乡、梨树乡、闫家镇稳定水稻种植，大力发展设施蔬菜、食用菌、水产养殖等产业。到2022年，力争优良品种覆盖率达到99%，优质专用品种覆盖率85%。大力发展“庭院经济”，重点培育白瓜、蔬菜瓜果、杂粮杂豆等特色经济作物产业。到2022年力争发展绿色水稻食品原料基地50万亩，绿色大豆食品原料基地50万亩，绿色玉米食品原料基地50万亩，绿色白瓜食品原料基地10万亩，紫苏15万亩，中草药8万亩，以黑木耳为主的食用菌发展到1.7亿袋，建设标准化蔬菜示范基地12个，发展蔬菜种植面积11万亩。</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（2）积极发展现代畜牧业</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结合全省“两个千万工程”战略目标，以增加农民收入和规范畜牧产业为重点，以畜产品安全为保障，以“稳生猪、增牛羊、发展特色养殖”为主线，通过改分散养殖为规模养殖、改放牧养殖为舍饲圈养、改传统养殖为高端养殖、改普通养殖为特种养殖、改单一经营为合作经营的结构调整方式，壮大畜牧养殖业，实现畜牧产业向粮食过腹增值转变。建立生猪发展优势产区，选择生猪生产水平高、调出量大、繁育体系健全、粮食资源丰富、环境承载能力强、发展基础条件好的桦南镇、驼腰子镇、土龙山镇、明义乡等乡镇大力发展生猪养殖业。重点加快生猪品种改良，大力发展三元杂交商品猪规模生产。承接南方生猪产能转移，发挥资源优势，建成一批高标准种养结合、支撑全国市场供应的生猪生产基地。建立家禽发展优势产区，选择家禽存栏量大、良种化程度高、繁育体系健全、饲料资源丰富、环境承载能力强、发展基础条件好的梨树乡、大八浪乡、驼腰子镇、石头河子镇等乡镇发展家禽养殖业。重点加强标准化养殖场建设，扩大白羽鸡繁育能力，加大肉鸡、蛋鸡养殖规模，因地制宜发展蛋鸡和肉鹅等。积极引导贫困村（户）依托特色养殖业精准脱贫。</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到2022年，建设各类规模养殖场100个，创建标准化示范场36个，建立科技示范基地16个，招引畜禽加工企业5家，带动畜禽养殖大户100户。扶持德昱成实业、龙垦畜牧有限公司、聚源清真食品公司等畜禽加工企业做大做强，全面推动牛羊、肉鸡、乌驴全产业链发展，积极推广“延桦原”羊肉、“那噶哒”黑猪肉等特色畜产品品牌，打造全国最大乌驴全产业链基地、东北地区最大肉鸡养殖屠宰加工基地。</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（3）全面发展特色林业产业</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过政策引导扶持，龙头企业带动，促进林菌、林果、林药、林菜、林苗产业发展，扩大产业规模，提升产品质量，增加市场份额，提高林业产值。对处于半山区的乡镇举全力发展食用菌（以黑木耳为主）、坚果林（大榛子）、浆果林（沙棘、蓝靛果、红树莓、山葡萄）、中药材（紫苏、防风、黄芪、龙胆草）等林下种植、蜂蚕养殖、林下养殖、林产品采集等产业项目。加快食用菌、坚果、浆果深度开发，依托黑龙江华腾生物科技有限公司、孟家岗镇群英黑木耳标准化区，以黑木耳生产加工业为重点，兴建菌包生产主产区，力争3年内企业规模、经营模式、科研能力、工艺水平、设备配备等达到全国领先水平，全力打造全省食用菌生产重点县。依托恒源食品、隆发饮料等企业，重点发展果仁制品、浆果饮料等食品产业。</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切实推进桦南县林下经济产业发展。以石头河子镇、驼腰子镇、闫家镇、大八浪乡、孟家岗镇、明义乡、金沙乡为重点，到2022年打造60个示范基地园区（其中：黑木耳示范基地20个，其它食用菌示范基地20个，大榛子示范基地4个，紫苏示范基地10个，其他林下经济作物示范基地6个），全县林下经济年产值达到30亿元。将桦南县打造成黑龙江省大榛子产业第一县，全省最大的现代化中药材批发交易集散中心、全省紫苏产业大县和全省食用菌生产重点县。</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（4）大力发展特色农产品</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孟家岗镇群英村、石头河子林场、石头河子镇、明义乡为重点，推进紫苏、黑木耳、食用菌、大榛子等特色经济产业发展。推进“一村一品”和“一乡一业”建设，主要发展棚室裸地蔬菜、瓜果、白瓜籽、向日葵、葡萄、树莓、万寿菊等经济作物；对于零散不适于发展机械化的地块因地制宜地种植谷子、糜子等杂粮杂豆特色农作物。加大开发地方传统特色产业力度，做大做强豆腐村、煎饼村、柞蚕养殖村、粘豆包村、甜瓜村、草编村等传统行业村，创建地方品牌。</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（5）重点发展渔业产业</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大力推进现代渔业发展。以渔业提质增效、绿色发展、渔民增收为目标，调整优化产业结构和区域布局，转变发展方式。发挥桦南县的水资源优势，结合池塘标准化养殖，扩大绿色水产品养殖规模，在优质水产品加工业上下功夫。发展名特优鱼类特色养殖，建设特色明显、以品尝自然鱼为主要特点的原生态渔业基地。主要发展松浦镜鲤、方正银鲫、河蟹、鲟鳇鱼、泥鳅等品种。建立渔业产业联盟，提高渔业组织化程度。重点抓好稻田综合种养，以梨树乡为重点的西部稻田种植区，推广稻田养殖名特优鱼类的模式，推广稻蟹、稻鳖、稻鳅、稻鲤、稻鲫等综合种养模式，采取典型带动的方式扩大渔稻面积。到2022年，渔业养殖面积达到4.9万亩，水产品产量达到1万吨，全县渔业产值达到1.4亿元。</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积极发展休闲渔业、冰雪渔业。依据现有资源和条件，向着提高档次和水平、改善环境和设备、办出特色和品位的方向发展。建设一批环境幽雅、设施完备、集吃、住、玩、钓为一体的现代休闲渔业基地。建设一批回归自然田园生活，具有北方浓郁生活特点的特色休闲渔业基地。发挥向阳湖、团结水库冬捕旅游的作用，通过举办冰雪渔业文化旅游节、冬捕节、冬钓大赛、生态旅游等主题活动，把民俗文化、渔猎文化、文艺体育等融入休闲渔业发展全过程，深度挖掘冰雪渔业经济潜力，提高休闲渔业质量和品位，壮大休闲渔业经济。</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2、夯实农业综合生产能力</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（1）进一步巩固提升粮食综合产能</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快现代农业发展，激发农业农村发展活力。稳定大宗粮食作物种植，巩固粮食生产先进县地位。实施“藏粮于地、藏粮于技”战略，严守耕地红线，加强永久基本农田质量建设。严格保护耕地，稳定粮食播种面积，优化品种布局和种植结构，提高粮食质量。深入推进水稻、玉米、大豆高产创建，提高整体生产能力，提升作物品质，增加综合收益。在稳定粮食生产安全的基础上，抓住水利、农机、科技、生态4条主线，不断提高粮食生产力。到2022年，建设高标准农田20万亩，完善建设粮食生产功能区和重要农产品生产保护区220万亩，粮食综合生产能力稳定在23亿斤以上。</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（2）持续推进农田水利建设</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续开展防汛安全隐患排查整治，以水库、堤防、河流险工险段、水利设施、涉水在建工程、山洪地质灾害易发区等为重点，全面落实日常检测、汛期巡查、领导带班、物料储备、灾情传递等措施，确保汛期安全。完善预警报警措施，最大限度地避免或减少山洪灾害可能造成的损失。推进河长制、湖长制任务落实，推进落实“一河一策”方案和湖长制工作方案，落实河长制各项制度和河库保护管理联合执法机制，积极协调落实工作人员、工作经费，推动形成河库管理保护高效运行机制和工作合力，并逐步走向常态化。</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桦南县八虎力河驼腰子段堤防进行治理，工程包括下桦段、驼腰子段、林家河回水堤，总长9.117km，堤防防洪标准达到10年一遇。到2022年，投资5000万元，修建排水闸8座，农道桥1座；新建护岸65处，分别为下桦段、山连屯段、愚公段、长龙岗段、大金缸段、东柳段、北柳段、东华段，总长11.815km。投资4200万元，对桦南县松木河护岸工程共49段，采用雷诺护垫形式施工，护岸总长度19.587 km 。投资743万元，对桦南县八虎力河护岸3.745km塌岸段进行护砌。</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（3）全面升级农业机械化水平</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加快农机更新步伐。大力推进桦南县农业机械化事业。到2022年，农机总动力130万千瓦，新增农机总动力30.74万千瓦；小型拖拉机保有量1500台，大中型拖拉机保有量27110台；联合收割机3180台，水稻插秧机6480台，配套农机具39490台（套）。农业机械作业目标(每年完成量)为机耕面积341万亩，机播面积339万亩，机械中耕342万亩，机收324万亩，农业机械化综合水平提高到98%。</w:t>
      </w:r>
    </w:p>
    <w:p>
      <w:pPr>
        <w:bidi w:val="0"/>
        <w:rPr>
          <w:rFonts w:hint="eastAsia" w:ascii="仿宋_GB2312" w:hAnsi="仿宋_GB2312" w:eastAsia="仿宋_GB2312" w:cs="仿宋_GB2312"/>
          <w:highlight w:val="none"/>
          <w:lang w:val="en-US" w:eastAsia="zh-CN"/>
        </w:rPr>
      </w:pP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pPr>
        <w:pStyle w:val="3"/>
        <w:bidi w:val="0"/>
        <w:rPr>
          <w:rFonts w:hint="eastAsia"/>
          <w:highlight w:val="none"/>
        </w:rPr>
      </w:pPr>
      <w:bookmarkStart w:id="67" w:name="_Toc67939152"/>
      <w:bookmarkStart w:id="68" w:name="_Toc25307"/>
      <w:r>
        <w:rPr>
          <w:rFonts w:hint="eastAsia"/>
          <w:highlight w:val="none"/>
        </w:rPr>
        <w:t>第</w:t>
      </w:r>
      <w:r>
        <w:rPr>
          <w:rFonts w:hint="eastAsia"/>
          <w:highlight w:val="none"/>
          <w:lang w:val="en-US" w:eastAsia="zh-CN"/>
        </w:rPr>
        <w:t>八</w:t>
      </w:r>
      <w:r>
        <w:rPr>
          <w:rFonts w:hint="eastAsia"/>
          <w:highlight w:val="none"/>
        </w:rPr>
        <w:t xml:space="preserve">章 </w:t>
      </w:r>
      <w:bookmarkEnd w:id="67"/>
      <w:r>
        <w:rPr>
          <w:rFonts w:hint="eastAsia"/>
          <w:highlight w:val="none"/>
        </w:rPr>
        <w:t>国土综合整治与生态保护修复</w:t>
      </w:r>
      <w:bookmarkEnd w:id="68"/>
    </w:p>
    <w:p>
      <w:pPr>
        <w:pStyle w:val="4"/>
        <w:bidi w:val="0"/>
        <w:rPr>
          <w:rFonts w:hint="eastAsia" w:cs="Times New Roman"/>
          <w:highlight w:val="none"/>
          <w:lang w:val="en-US" w:eastAsia="zh-CN"/>
        </w:rPr>
      </w:pPr>
      <w:bookmarkStart w:id="69" w:name="_Toc11224"/>
      <w:r>
        <w:rPr>
          <w:rFonts w:hint="eastAsia" w:cs="Times New Roman"/>
          <w:highlight w:val="none"/>
          <w:lang w:val="en-US" w:eastAsia="zh-CN"/>
        </w:rPr>
        <w:t>第一节 国土综合整治与生态保护修复分区</w:t>
      </w:r>
      <w:bookmarkEnd w:id="69"/>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国土综合整治分区布局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用地整治区。大力推进农用地整治，优化农用地布局，落实耕地管控政策，构建数量、质量和生态“三位一体”的综合整治。合理利用农用地提质改造、农田基础设施建设、土壤改良等措施，提高中低等级的农用地质量、改善农田生态。有序推进高标准基本农田建设和垦造水田工程， 适度开发补充耕地，有效增加耕地数量。农用地整治区主要分布在XX、</w:t>
      </w:r>
      <w:r>
        <w:rPr>
          <w:rFonts w:hint="eastAsia" w:ascii="仿宋_GB2312" w:hAnsi="仿宋_GB2312" w:eastAsia="仿宋_GB2312" w:cs="仿宋_GB2312"/>
          <w:highlight w:val="none"/>
          <w:lang w:val="en-US" w:eastAsia="zh-CN"/>
        </w:rPr>
        <w:tab/>
      </w:r>
      <w:r>
        <w:rPr>
          <w:rFonts w:hint="eastAsia" w:ascii="仿宋_GB2312" w:hAnsi="仿宋_GB2312" w:eastAsia="仿宋_GB2312" w:cs="仿宋_GB2312"/>
          <w:highlight w:val="none"/>
          <w:lang w:val="en-US" w:eastAsia="zh-CN"/>
        </w:rPr>
        <w:t>XX、XX等地势较平坦的地区。</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农村建设用地整理与人居环境整治区。结合桦南县农村发展现状，开展闲置破旧的农村宅基地、低效农村建设用地整治，强化新农村建设成果， 优化调整农村内部用地布局结构，提升农村生活区景观和建设用地集约化水平，支撑优质高效农业发展用地，建设环境友好型新农村。农村建设用地整理与人居环境整治区主要分布在XX、XX、XX。</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城镇低效用地整治区。以旧城镇、旧厂房等城镇低效建设用地整治和改造为抓手，加快批而未用土地建设，有效提高城镇建设用地节约集约利用水平，通过建设用地结构调整，支持桦南县产业升级。 城镇低效用地整治区主要分布在XX、XX、XX。</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生态保护修复分区布局</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水土流失重点防治区。桦南县位于黑龙江省水土保持规划中的东南部山地丘陵水质维护保土区，属于国家和省级水土流失重点治理县，利用工程和生物保持措施开展水土流失防治，继续维护初现成效的水土流失治理区域。主要分布于桦南镇、大八浪乡、闫家镇、明义乡。</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湿地生态保护、修复区。以水生态环境为依托，维护湿地生物生态系统，保障湿地水源补给，完善湿地保护体系，提高湿地在涵养水源、净化水质和维护生物多样性等方面的功能。主要分布在XX、XX、XX。</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水生态环境治理区。以水环境质量改善为核心，系统治理河流周边区域工业、城镇生活、农业农村、旅游开发等污染源，以水环境和水资源承载能力为重点,综合运用补水、蓄水、河道生态治理，通过高质量的水污染治理、水生态修复、水资源保护“三水共治”，为桦南高质量发展提供有力的水生态环境支撑水质。大力推进水体治理工程。水源保护与涵养修复区。从源头上有效控制水土流失，以维护和增强水土保持功能为原则，充分发挥生态自然修复作用，多措并举，形成综合预防保护体系，加强生态公益林建设，扩大森林植被覆盖。森林覆盖率高、水土流失潜在危险大的区域实施封育保护。加强监督、严格执法，全面监控和治理生产建设活动和项目造成的水土流失。主要分布在XX、XX、XX。</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陆域生物多样性保护修复区。建成以自然保护区为骨干，包括风景名胜区、森林公园等不同类型保护地的保护网络体系。主要分布在XX、XX、XX。</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矿山修复治理区。通过工程、生物等措施，对采矿活动引起的矿山地质环境问题、景观破坏问题进行综合治理,使地质环境达到稳定、生态得到恢复、景观得到美化的过程。主要分布在XX、XX、XX。</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城乡国土综合整治与生态修复区。针对耕地、建设用地、矿山等自然资源和非自然资源的利用不合理、闲置低效等问题，在城市化地区处置闲置建设用地、盘活低效建设用地，促进土地节约集约利用； 在农村地区整治空心村、改造危旧房，调整农村居民点，提升农村建设区域空间利用效率，同时整理破碎田块形成粮食生产合力，整治坡耕地、贫瘠耕地、干旱、涝洼等生态脆弱型低等耕地，提升耕地的产量效益；在矿山资源开发集中区复垦再利用矿山废弃地，转用用途，还绿还林；推进以流域和生态保护区为特色的河流—森林生态系统。</w:t>
      </w:r>
    </w:p>
    <w:p>
      <w:pPr>
        <w:pStyle w:val="4"/>
        <w:bidi w:val="0"/>
        <w:rPr>
          <w:rFonts w:hint="eastAsia" w:ascii="黑体" w:cs="黑体"/>
          <w:color w:val="000000" w:themeColor="text1"/>
          <w:highlight w:val="red"/>
          <w14:textFill>
            <w14:solidFill>
              <w14:schemeClr w14:val="tx1"/>
            </w14:solidFill>
          </w14:textFill>
        </w:rPr>
      </w:pPr>
      <w:bookmarkStart w:id="70" w:name="_Toc9172"/>
      <w:r>
        <w:rPr>
          <w:rFonts w:hint="eastAsia" w:cs="Times New Roman"/>
          <w:highlight w:val="none"/>
          <w:lang w:val="en-US" w:eastAsia="zh-CN"/>
        </w:rPr>
        <w:t>第二节 统筹推进生态系统修复</w:t>
      </w:r>
      <w:bookmarkEnd w:id="70"/>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加强森林生态系统保育与修复</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以森林资源保护为依托，打造桦南县东北部生态屏障体系，加强区域协同保护，推进山地生态系统修复治理， 增强生态功能 ，加强水土保持生态工程建设。有序推进林地保育，构建城镇森林绿地系统，建设绿色桦南、生态桦南。</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保护、修复湿地与河流生态系统</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构建以七虎力河、八虎力河、来财河等河流为绿色生态水网，以风景名胜区、自然保护区、城镇内部绿地水系生态系统为关键生态节点，加快推进过载和污染河湖治理与修复，加大水源涵养保护力度，确保河流水源安全；合理控制河流开发利用强度，切实保障河湖生态用水，保护和逐步恢复河湖合理生态空间；建立健全河湖休养生息的长效机制，加强湿地生态系统功能，维持生物多样性。</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推进中小河流治理</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积极推进农村种养循环，减少养殖、农业生产污水直排，加强城镇污水集中处理设施和配套管网建设。通过堤防加固、河道清淤、护岸工程和穿堤涵管工程，推进中小河流水体综合整治。</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保护、修复农田生态系统</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利用区域特色农业模式，构建农田防护林体系。推进农田综合整治，合理利用工程和生物措施，大力发展种养循环农业体系，保障农业生态安全。加大土壤修复与综合治理力度，通过多种修复措施并举，改善土壤环境，恢复土壤生产能力。对受重金属污染的耕地改种某些非食用的植物，如花卉、林木、纤维作物等，也可种植一些非食用的吸收重金属能力强的植物，加快淘汰落后污染产能，加大污染场地用其周边农田进行修复力度。</w:t>
      </w:r>
    </w:p>
    <w:p>
      <w:pPr>
        <w:pStyle w:val="4"/>
        <w:bidi w:val="0"/>
        <w:rPr>
          <w:rFonts w:hint="eastAsia" w:ascii="黑体" w:cs="黑体"/>
          <w:color w:val="000000" w:themeColor="text1"/>
          <w:highlight w:val="red"/>
          <w14:textFill>
            <w14:solidFill>
              <w14:schemeClr w14:val="tx1"/>
            </w14:solidFill>
          </w14:textFill>
        </w:rPr>
      </w:pPr>
      <w:bookmarkStart w:id="71" w:name="_Toc22259"/>
      <w:r>
        <w:rPr>
          <w:rFonts w:hint="eastAsia" w:cs="Times New Roman"/>
          <w:highlight w:val="none"/>
          <w:lang w:val="en-US" w:eastAsia="zh-CN"/>
        </w:rPr>
        <w:t>第三节 系统部署美丽城乡国土综合整治</w:t>
      </w:r>
      <w:bookmarkEnd w:id="71"/>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推进农用地整治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大力加强农用地基础设施建设。严格农用地整治工程标准，加大中、低产田改造力度，完善田间道路系统，优化田间道、生产路布局，提高道路的荷载标准和通达度；加强农田水利设施建设，增强农田防洪抗旱能力。加强农田防护与生态环境建设。因地制宜推进农田林网工程建设，完善农田防护林体系，稳步提高农田防护比例。加强小流域综合治理，积极开展坡改梯、堤岸防护、坡面防护、沟道治理和保护性耕作等水土保持工程建设，增强农田抵抗自然灾害的能力，改善农业生态环境。提高农用地质量， 扩大农产品生产规模，提高特色农产品生产能力，加强区域农用地整治，着力改善生产条件。</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推进农村建设用地整治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过统筹城乡建设用地增减挂钩、工矿废弃地复垦利用、统一乡镇村庄建设用地布局调整等，整合零星、低效、空闲建设用地，促进建设用地节约集约利用，释放农村集体建设用地产权红利，促进乡村农业增效、农民增收，促进农村增绿，改善农村景观。通过统一规划合村并居，引导分散居住的农民向中心村、中心社区和小城镇聚集，提高农村居住地使用效率，增加农村收益。通过实施耕地占补平衡补充耕地项目、城乡建设用地增减挂钩土地整理项目、工矿废弃地复垦项目、土地综合整治和高标准农田建设项目等，所取得的土地指标收购费用，可以反哺乡村，用于土地整治和管理、基本农田建设与保护、涉农基础设施建设、农村公共服务配套设施建设等。</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整体实施乡村全域整治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立足“山水林田湖草”生命共同体开展乡村全域整治，统筹安排乡村国土空间利用新格局。围绕“增加有效耕地、提升地力，提升人类生产生活条件，助推精准脱贫和农业供给侧结构性改革”的目标，统一规划整治“田水路林村”,谋划好乡村文化传承与生态新村建设。将农用地整理、补充耕地、高标准农田和乡村低效建设用地整理任务落实到村庄、图斑和地块，科学安排乡村土地整治时序。围绕城乡国土空间优化，进一步加强空心村和低效、闲置、废弃土地再利用研究，用好城乡建设用地增减挂钩等政策。以保护生态为前提，确定未利用地开发时序，有序推进采煤塌陷地等损毁地和废弃、退化、污染土地治理、改良和修复。实现建设用地集约节约水平有提高、生态保护红线不突破、乡村环境有改善。</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推进城镇低效用地整治</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集中推进建设用地中的布局散乱、利用粗放、用途不合理、建筑危旧的城镇存量建设用地的整治。有序开展闲置土地、旧城镇、旧村庄的整治和利用，优化城镇建设用地结构，有效盘活存量土地，合理控制住房用地比例，统筹城市功能再造、产业结构调整、生态环境保护、历史人文传承， 确保城镇低效用地整治顺利开展。</w:t>
      </w:r>
    </w:p>
    <w:p>
      <w:pPr>
        <w:pStyle w:val="4"/>
        <w:bidi w:val="0"/>
        <w:rPr>
          <w:rFonts w:hint="eastAsia" w:ascii="黑体" w:cs="黑体"/>
          <w:color w:val="000000" w:themeColor="text1"/>
          <w:highlight w:val="red"/>
          <w14:textFill>
            <w14:solidFill>
              <w14:schemeClr w14:val="tx1"/>
            </w14:solidFill>
          </w14:textFill>
        </w:rPr>
      </w:pPr>
      <w:bookmarkStart w:id="72" w:name="_Toc28813"/>
      <w:r>
        <w:rPr>
          <w:rFonts w:hint="eastAsia" w:cs="Times New Roman"/>
          <w:highlight w:val="none"/>
          <w:lang w:val="en-US" w:eastAsia="zh-CN"/>
        </w:rPr>
        <w:t>第四节 国土综合整治与生态修复的重点工程</w:t>
      </w:r>
      <w:bookmarkEnd w:id="72"/>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水土流失防治类工程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 XX个水土流失重点治理工程和 XX个水土流失重点预防工程。以重点防治区域的示范带动，形成区域水土保持能力强化，打造区域示范工程。</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水环境治理类工程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推进XX 个水环境治理工程。对河流、水库两岸的农业生产、生活和工业污水进行引流，从源头上杜绝污水对河流的污染；有效管控河流两岸养殖行为，实现水面清澈、水质达标。</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水生态与湿地公园建设类工程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 XX 个水生态保护工程和XX个湿地公园建设工程。通过生态驳岸，减少农业面源污染，以维持河道自然形态、建设生态驳岸、涵养生态群落为重点，构建从外到内“林堤滩水”连续的自然生态格局，治理周边乡村生态环境明显改善。</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矿山修复类工程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 XX个矿山土地复垦、地灾治理工程和 XX 个矿山综合治理工程。对停采、废弃的矿山，采取工程措施和生物措施，稳固地质环境，改良土壤，实现矿山复绿。</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农村全域整治工程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XX个农村全域整治工程，整治面积共XX公顷。对乡村生态、农业、建设空间进行全域优化布局，对田水路林村进行全要素综合整治，对高标准农田进行连片提质建设，对存量建设用地进行集中盘活挂钩，对新农村和产业融合发展用地进行集约精准保障，对乡村人居环境进行统一治理修复。</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高标准农田建设工程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推进 XX个高标准农田建设工程，整治面积共 XX 公顷。根据桦南县实际情况和“布局合理化、农田规模化、农业科技化、生产机械化、经营信息化、环境生态化”的要求，大力推进旱涝保收高标准基本农田建设。</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农村建设用地与人居环境整治工程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以全域旅游、乡村振兴为抓手，推进 XX 个农村建设用地与人居环境整治工程，整治面积共XX公顷。大力提升农村居民点风貌，突出乡土特色和地域特点。加大传统村落民居和历史文化名村名镇保护力度， 提升田园风光品质。推进农村生活垃圾治理、村庄绿化和居民点拆旧复垦， 充分利用闲置土地组织开展植树造林、湿地恢复等活动，建设绿色生态村庄。</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城镇低效用地整治工程</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重点推进 XX个城镇低效用地整治工程，整治面积共 XX公顷。有效盘活城镇闲置建设用地，提高建设用地节约集约利用水平，优化城镇用地布局，实现产业集聚发展，为区域高水平发展提供支撑。</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pPr>
        <w:keepNext/>
        <w:keepLines/>
        <w:pageBreakBefore/>
        <w:widowControl w:val="0"/>
        <w:tabs>
          <w:tab w:val="left" w:pos="0"/>
        </w:tabs>
        <w:spacing w:before="360" w:after="240" w:line="560" w:lineRule="exact"/>
        <w:jc w:val="center"/>
        <w:outlineLvl w:val="0"/>
        <w:rPr>
          <w:rFonts w:ascii="黑体" w:hAnsi="Calibri" w:eastAsia="黑体" w:cs="黑体"/>
          <w:b/>
          <w:bCs/>
          <w:color w:val="000000" w:themeColor="text1"/>
          <w:kern w:val="44"/>
          <w:sz w:val="36"/>
          <w:szCs w:val="36"/>
          <w:u w:val="none"/>
          <w:lang w:val="en-US" w:eastAsia="zh-CN" w:bidi="ar-SA"/>
          <w14:textFill>
            <w14:solidFill>
              <w14:schemeClr w14:val="tx1"/>
            </w14:solidFill>
          </w14:textFill>
        </w:rPr>
      </w:pPr>
      <w:bookmarkStart w:id="73" w:name="_Toc15949"/>
      <w:bookmarkStart w:id="74" w:name="_Toc67939159"/>
      <w:r>
        <w:rPr>
          <w:rFonts w:hint="eastAsia" w:ascii="黑体" w:hAnsi="Calibri" w:eastAsia="黑体" w:cs="黑体"/>
          <w:b/>
          <w:bCs/>
          <w:color w:val="000000" w:themeColor="text1"/>
          <w:kern w:val="44"/>
          <w:sz w:val="36"/>
          <w:szCs w:val="36"/>
          <w:u w:val="none"/>
          <w:lang w:val="en-US" w:eastAsia="zh-CN" w:bidi="ar-SA"/>
          <w14:textFill>
            <w14:solidFill>
              <w14:schemeClr w14:val="tx1"/>
            </w14:solidFill>
          </w14:textFill>
        </w:rPr>
        <w:t>第九章 中心城镇规划</w:t>
      </w:r>
      <w:bookmarkEnd w:id="73"/>
      <w:bookmarkEnd w:id="74"/>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75" w:name="_Toc11029"/>
      <w:bookmarkStart w:id="76" w:name="_Toc67939160"/>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第一节 培育高质量一体化发展协同区</w:t>
      </w:r>
      <w:bookmarkEnd w:id="7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发展特征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桦南镇-桦南林业局局址-曙光农场场部-开发区城镇圈是桦南县中心城镇与邻近城镇协同发展的重要抓手。农垦森工自然资源管理职能属地化移交改革进展良好，开发区已谋划并持续推进局县共建、场县共建园区的实施建设，桦南镇、桦南林业局局址、曙光农场场部三地在桦南县中地理位置接近、协作联系密切、经济社会相对发达，呈现出典型的城镇圈特征，体现为发达的城市型产业、连绵一体的城市空间形态、密切的内部互动联系，特别是前两个在空间上呈现多年连绵的同城化形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通过把握城镇圈的基本特征，着眼于城镇圈整体功能的补足、存量用地结构的优化以及空间品质的提升，重点梳理协同区在产业、空间、设施、资源和能源等方面的特征和问题。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在产业方面，城镇型产业发达。桦南镇、桦南林业局、曙光农场的代表产业，已为协同区一体化发展提供重要的空间载体，但产业功能以组团的形式集聚，缺乏宏观上的统筹整合。</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空间方面，城镇形态连绵一体。桦南镇与桦南林业局局址之间空间连绵，两地之间建设用地没有明显界限。曙光农场场部距离相对较远，但其公共设施、基础设施已承担城市重要的服务功能，未来通过规划建设将于桦南镇建成区紧密连接。拼合三地的总体规划发现，协同区在中心体系和空间板块上缺乏共识，没有考虑城镇圈的整体发展、结构中心的打造和用地功能的协调。</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设施方面，三地的公共服务设施配置都考虑了镇层面的设施布局，部分设施如医疗设施、交通场站等已实现完整城市功能，但由于行政边界分割和行政等级不同，协同区存在大部分服务设施重复配置、社区生活圈配套标准不同等问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交通方面，三地均通过高速公路和一般公路等交通干线有一定的联系。但协同区需要加强的公共交通等中运量交通线路，并解决在交界地区道路建设方面存在的级别不同、线型错位、断面不一致等对接不畅的问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综上，协同区在城镇建设、经济产业、公共服务等方面已有共享共用的融合趋势，目前仍存在规划建设理念不统一、目标定位不协调、空间布局不明晰、产业发展未联动、综合交通未统筹、基础设施未衔接等问题不容忽视，通过城镇圈协同区的规划进行一体化发展势在必行。</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策略引导</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协同区已进入城镇圈协同的城市化经济阶段，即各镇之间深度融合，产业、空间、支撑体系的一体化。衔接相关规划对各地的目标定位，考虑产业、文化、生态等方面的发展现状和同城化发展趋势，将桦南镇-桦南林业局局址-曙光农场场部城镇圈发展目标确定为 “高质量一体化发展协同区、基地、新城”，形成以桦南镇、桦南林业局局址、曙光农场场部等建成区为主的城镇圈集聚发展的态势，发挥种畜场片区的节点城镇作用，打造多中心、多层次、多节点、网络化发展模式，培育一体化发展中心地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策略一，通过产业协同，共建转型升级的产业体系。根据现有产业发展情况，发挥协同区内部各地各片区的既有优势，结合对未来产业转型升级的方向判断，构建一体化的产业体系，共同打造 中心，依托 发展优势和溢出效应，发挥 产业载体、服务等资源优势，整合 ，向 梯度布局。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策略二，通过空间协同，明晰一体化的空间结构。在底线约束、一体化发展的思路引导下，明确协同区总体空间格局，识别重点功能板块、发展轴线、确定中心体系。打造“五个城市功能片区（桦南镇-林业局核心片区、曙光综合服务片区、河北工业片区、高铁交通服务片区、种畜场综合服务片区）和三个生态农业片区（八虎力河生态廊道、高铁西侧生态板块、七虎力河生态廊道）”的功能布局，共建局址核心板块，提升城镇圈向心力和辐射能级，共建经济、文化活力核心发展区；打造“一带（前进路城市拓展轴）两轴(向阳干渠横向城市景观带、鹤大高速纵向交通联系带)双主（行政文化中心、产业服务中心）四副（老街里服务中心、种畜场服务中心、曙光服务中心、柳毛河服务中心）”的空间结构，重点建设城镇发展轴，沿线布局，串联围绕中运量站点发展的多处城市服务中心和产业功能平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策略三，通过交通协同，完善均等化的综合交通。明确对外交通廊道，强化鹤大高速公路两个互通立交（桦南、曙光），提出依饶公路线位优化建议；优化协同区枢纽站体系，确定三个综合枢纽站（桦南站、客运总站、高铁站），和 个综合交通场站（客运东站、 、 ）；强化协同区内部交通联系，规划设置环城西路、环城南路、北环路交通线，联系圈内各片区核心地区，同时规划多条公交廊道，发展城镇圈内普通城市公交线路；对接边界路网，构建协同区干道系统，统筹城镇圈规划道路，规划形成“五纵六横”的主干路网系统，承担城镇圈内对外交通的主干道以及内部各片区间快速联系功能，优化 道路交叉口对接，调整中线、红线和道路等级，实现边界路网的互联互通。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策略四，通过设施协同，共建多层级的服务设施。共同配置高等级服务设施，规划“城市级-区（城镇圈）级-镇级”三级服务设施体系，其中区级设施服务人口20-30万人左右，主要满足协同区内居民的共享需求，根据各片区功能定位，增加或升级部分“乡镇级”设施为区级设施，主要增加医疗、体育、文化、旅游、养老等公共服务设施，供水、环卫等基础设施；统一生活圈配置标准，参考相关生活圈配置要求，构建协同区内一体化的城镇生活圈服务配置标准，依托不同片区的功能和人口特征。划分为综合型、产业型、创新型、交通型四类城镇生活圈，差异化引导配件标准，满足多元化的片区服务需求。</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策略五，通过资源协同，营造绿色生态的美好环境。协同管控八虎力河、七虎力河生态廊道，统筹山水林田湖草系统治理，加速沿岸污染工业推出，指定生态廊道绿线分段管控标准，建设应强调生态保育、景观和生物多样性，可安排一定量的观光农业和旅游休闲设施；营造协同区魅力蓝绿开场空间，转化生态优势，将河湖水系保有与旅游游憩建设、乡村振兴结合，完善八虎力河水系、向阳干渠绿廊、郊野公园、工业遗产更新区等自然与历史文化资源利用方式，形成生态自然、历史文化、工业观光相互串联的旅游产品组合；共同划定城镇开发边界，确保城镇主要拓展空间完整连贯集聚发展，规划期末城镇空间约67平方公里，占协同区总面积的五分之一。</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区域分类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（一）控制类型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借鉴国内外相关城市对区域和城市建设分类控制要求，结合实际，将协同区分为4类控制类型：城市建设重点发展区、城镇建设发展区、城镇建设控制发展及生态保护区、开敞区。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1.城市建设重点发展区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协同区内关注的重点地区，根据实际和本地规划管理需求等确定的城市建成区和规划扩展区域，即中心城镇，面积XX平方公里。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2.城镇建设发展区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协同区内主要的城镇居民点的规划控制区，除中心城镇外独立发展、零星散布的城镇发展区域，包括曙光农场场部、种畜场场部和其他不足30公顷的城镇建设发展区域。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3.城镇建设控制发展及生态保护区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协同区内对生态环境起决定作用的重大生态要素和生态实体等需重点保护地域。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4.开敞区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以农林牧业为主的包括村屯、农田、水网、丘陵等用地的地区，区内聚居点密度小，是农业林业发展基地，地貌以自然环境、绿色植被和自然村落为主。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（二）发展指引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 城镇开发边界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发展策略和重点：因城镇发展需要，可以集中进行城镇开发建设，完善城镇功能、提升空间品质的区域，集中发展城市主导产业，完善城市区域服务功能，确立城市区域地位。重点完善市政基础设施和公共服务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引导发展功能：完善城市生产和服务的各项功能。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限制发展功能：城镇开发边界范围内的现状各类农业用地规模和农业生产开发强度不得扩大，逐渐迁出本区域。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禁止发展功能：城镇开发边界范围内的现状农村居民点禁止各类新建、改扩建活动，避免出现“城中村”。</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居民点整理要点：规划对城镇开发边界范围内的现状农村居民点进行城市化整理，一部分转为城市居民，一部分转移到高铁沿线的临近农村居民点。</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（二）近郊区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发展策略和重点：规划重点加强城乡融合发展，实现城市基础设施对居民点的覆盖和共享。</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引导发展功能：基础设施廊道、设施农业。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限制发展功能：规划期内居民点用地规模禁止扩大，限制大规模开发建设。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禁止发展功能：除重大项目外禁止城市建设用地拓展。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居民点整理要点：逐渐缩小、迁移外围农村居民点，靠近城区附近集中建设。</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城镇开发边界</w:t>
      </w:r>
    </w:p>
    <w:bookmarkEnd w:id="76"/>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bookmarkStart w:id="77" w:name="_Toc67939161"/>
      <w:r>
        <w:rPr>
          <w:rFonts w:hint="eastAsia" w:ascii="仿宋_GB2312" w:hAnsi="仿宋_GB2312" w:eastAsia="仿宋_GB2312" w:cs="仿宋_GB2312"/>
          <w:kern w:val="2"/>
          <w:sz w:val="28"/>
          <w:szCs w:val="28"/>
          <w:u w:val="none"/>
          <w:lang w:val="en-US" w:eastAsia="zh-CN" w:bidi="ar-SA"/>
        </w:rPr>
        <w:t>（一）城镇开发边界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过资源环境承载力和国土空间开发适宜性评价，结合桦南县实际和发展需要，根据第三次全国国土调查行政区数据，本次确定的协同区城镇开发边界包括桦南镇建成区、西平村委会、正北村委会、正东村委会、正南村委会、腰营村委会、幸福村委会、五一村委会、太平村委会、双合村委会、隆胜村委会、建华村委会、桦南县原种场、桦丰村委会、湖南营村委会、宏元村委会、富荣村委会、东华村委会、东风村委会、曙光农场、第一分场居委会、第七分场居委会等村级调查区。至2035年，城镇开发边界初划规模为XX平方公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（二）城镇开发分区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过城市环境和自然条件两个方面的分析，可以看出影响协同区城市建设的主要因素并不是地形、地势以及地震等因素，而是永久基本农田、林牧业用地、自然保留地等。总体上看协同区建设条件较好，地势平坦。城镇开发边界内分为三种区域，城镇集中建设区、城镇弹性发展区和特别用途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1.城镇集中建设区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城镇集中建设区是指根据规划城镇建设用地规模，为满足城镇居民生产生活需要，划定的一定时期内允许开展城镇开发和集中建设的地域空间。是桦南县中心城镇在规划期内主要的发展建设地区。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2.城镇弹性发展区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城镇弹性发展区是指为应对城镇发展的不确定性，在城镇集中建设区外划定的，在满足特定条件下方可进行城镇开发和集中建设的地域空间。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在不突破规划城镇建设用地规模的前提下，城镇建设用地布局可在城镇弹性发展范围内进行调整，同时相应核减城镇集中建设区用地规模。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3.特别用途区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特别用途区是指为完善城镇功能，提升人居环境品质，保持城镇开发边界的完整性，根据规划管理需划入开发边界内的重点地区，主要包括与城镇关联密切的生态涵养、休闲游憩、防护隔离、自然和历史文化保护等地域空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特别用途区原则上禁止任何城镇集中建设行为，实施建设用地总量控制，原则上不得新增除市政基础设施、交通基础设施、生态修复工程、必要的配套及游憩设施外的其他城镇建设用地。</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78" w:name="_Toc12695"/>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第二节 优化中心城镇</w:t>
      </w:r>
      <w:bookmarkEnd w:id="77"/>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总体布局</w:t>
      </w:r>
      <w:bookmarkEnd w:id="78"/>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中心城镇范围划定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（一）划定方法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中心城镇范围划定的基本方法，概括起来可归纳为“四定方法”即通过区域综合分析，运用定性、定量、定形、定线方法，划定出具体的中心城镇发展区的地域范围。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（二）划定过程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中心城镇范围主要依照以下几个方面：</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根据桦南的农、工、贸一体化的综合特点，考虑远景城市发展规模的需要，满足城市建设用地总体布局的需要，满足规划期内和远景城市发展对城市建设用地的需要；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充分考虑地理区位、自然地形、地貌格局、经济产业、灾害风险对城市建设发展的影响和制约；</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充分考虑地缘优势，进行合理开发及相应配套设施的建设，充分考虑大型城市基础设施建设的需要；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充分考虑森工自然资源管理职能属地化移交对城市发展的影响，保证区域协调发展的需要；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充分考虑开发区、产业园区和产业集群的转型升级，保证产城融合发展的需要等。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（三）划定范围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通过多方协调与通盘考量，根据相关法律法规和桦南实际情况，中心城镇涉及桦南镇、桦南林业局局址、孟家岗镇的部分区域，总面积为。，平方公里。</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发展方向</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（一）发展用地条件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桦南县城区向北发展，可开发空间充足，与主城区在交通上和功能上联系紧密，并且用地平坦，建设条件优良。向南发展，用地趋于饱和，已无发展空间。向东发展，城市空间被铁路分隔，且东部受高速铁路和基本农田限制，近期发展空间有限，可考虑远期拓展。向西发展，受高速公路阻隔，已经导致老街里和主城区的发展失衡，老街里应以旧城改造更新为主，但城市西部地质条件良好，处于城市主导风向的上风向，地形坡度利于排水，易于完善各类市政设施，可适当拓展作为城市建设用地，充分发挥现有重点学校等公共设施的优势和作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（二）建成空间演变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通过对主城区历年建设用地拓展情况的分析，发现桦南镇近5年用地扩张特征显著，主要集中在高速公路、省道周边原有的城边村内，工业用地集中在城区北侧八虎力河沿岸地区。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城镇建成空间扩展方式主要有两类。一是以原有城镇建设用地为中心，向外围或者近郊区扩展，包括镇区和城边村；二是以开发区所在地区为带动点爆炸式增长。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（三）建设用地增长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建设用地增长形态主要有两种。一是在八虎力河、鹤大高速公路、前进路、胜利路、新兴路等沿线城市主要发展地区建设，进行城镇空间扩展或产生城市新单元；二是以镇区和外围片区为中心，实现城镇建设用地向外扩展，不断填充原有建设用地，城镇空间实现圈层式扩张。</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（四）发展方向选择</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综合以上分析，在中心城镇城镇开发边界研究范围内，城镇空间扩展以桦南镇周边外围地区高强度增长为主，城镇空间增长主要方向为“西拓、东连、北延、南控、中提升”，主要方式为“成组成片、集聚发展”。其中中部核心区提升空间品质；向西拓展老街里片区至腰营村；向东连接至桦南林业局；向北延至化工园区；向南控制城市蔓延至幸福村；总体呈现集中连片趋势。 </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规划分区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国土空间功能导向。城镇发展区、乡村发展区细化到二级规划分区，结合实际补充二级分区类型：创新产业区、公用设施集中区（包括居住生活区、综合服务区、商业服务区、工业发展区、物流仓储区、绿地休闲区、交通枢纽区、战略预留区等）不同规划分区的用地结构优化导向，鼓励土地混合使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用途准入原则和管控要求。居住生活区指以住宅建筑和居住配套设施为主要功能导向的区域；综合服务区指以提供行政办公、文化、教育、医疗以及综合商业等服务为主要功能导向的区域；商业商务区指以提供商业、商务办公等就业岗位为主要功能导向的区域；工业发展区指以工业及其配套产业为主要功能导向的区域；物流仓储区指以物流仓储及其配套产业为主要功能导向的区域；绿地休闲区指以公园绿地、广场用地、滨水开敞空间、防护绿地等为主要功能导向的区域；交通枢纽区指以机场、港口、铁路客货运站等大型交通设施为主要功能导向的区域；战略预留区指在城镇集中建设区中，为城镇重大战略性功能控制的留白区域，</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功能结构与用地布局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发展中心。“双主三副”指两个城市主中心和三个城市副中心。两个城市主中心包括行政文化中心和商业服务中心。三个城市副中心包括老街里商业中心、新区服务中心、产业组团服务中心。行政文化中心：以县政府和文化中心为核心，结合周边行政办公用地形成城市级行政文化中心；商业服务中心：以新兴路与前进路交叉口区域为核心，围绕周边商业服务设施，形成城市级商业中心；老街里商业中心：以学府路两侧区域为核心，围绕周边商业服务设施，形成老街里商业文化中心；新区服务中心：以苗圃路与泰平街交叉口区域为核心，结合新区配套相应的公共服务设施；产业组团服务中心，以现状经开区办公为依托，形成服务产业组团的功能中心，主要包括行政办公、科研、体育休闲等功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主要发展轴线。 “一带”规划依托向阳灌渠形成城市生态景观带，打造展示城市景观特色风貌的窗口；“四轴”依托交通街和新兴街形成主城区与老街里、林业局衔接的两条交通联系轴；依托前进路、苗圃路形成两条城市拓展轴，引导城市沿轴线向北发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功能组团。“五组团”即城中组团、老街里组团、新区组团、产业组团和铁东组团。城中组团：东至牡佳铁路，西至环城西路，北至金辉大街，以现状城中区为依托拓展形成的连片城市建成区，以居住、商业服务、行政办公、文化教育等功能为主的综合性城市片区，是中心城区主要的人口聚集地；老街里组团：东至仓储路，南至环城南路，西至西安路，北至幸福街，以居住生活、文化展示、休闲娱乐为主的城市组团，承担未来桦南文体、休闲娱乐等重要城市职能，是桦南县的第二门户，是展现城市“文化·生态”形象的重要载体；新区组团：东至铁西街，南至金辉大街，西至环城西路，北至丰胜街，以生态居住、休闲娱乐和现代商业服务为主要功能的城市新区组团；产业组团：东至铁西街，南至丰胜街，西至怡园路，北至桦北街，以产业功能为主的城市组团，是桦南县新型建材、风电设备制造绿色食品加工基地；铁东组团：东至林森街，西至牡佳铁路，北至建材街，南至通林街，以工业、居住生活为主的城市组团。</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明确中心城镇各类建设用地结构，统筹生活居住、产业发展、道路交通、基础设施与公共服务设施、历史文化资源、防灾减灾等用地功能，合理组织各类用地布局。 </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79" w:name="_Toc67939164"/>
      <w:bookmarkStart w:id="80" w:name="_Toc2737"/>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第三节</w:t>
      </w:r>
      <w:bookmarkEnd w:id="79"/>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 xml:space="preserve"> 强化中心城镇居住与住房保障</w:t>
      </w:r>
      <w:bookmarkEnd w:id="80"/>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住房保障体系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根据现状和总体用地布局，按城市交通干道和自然地形划分，形成4个居住组团，分别为城中居住组团、北部居住组团、老街里居住组团和铁东居住组团。规划至2035年，居住用地面积为。，人均居住用地面积为。。保障性住房用地规模为。，城镇新建住房用地规模为。，城镇居住用地供应量为。</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保障性住房配置标准</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经济适用房。按照分布合理、配套齐全、规模适度、离城区较近的原则选址建设经济适用房，严格控制面积和户型，单套住宅的建筑面积控制在60平方米～80平方米，保证单套总价在中低偏下收入家庭的购买能力之内。规划在城中居住组团及北部居住组团规划经济适用房，解决中低收入家庭的住房问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廉租房。廉租房主要在经济适用住房及普通商品住房小区中配建。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政策性租赁住房。积极发展住房租赁市场，鼓励房地产开发企业开发建设中小户型住房面向社会出租。</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城镇居住用地供应时序</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规划近期，棚户区改造以多层公寓型住宅为主，重点整合城中居住组团、北部居住组团，并适度开发老街里居住组团。</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规划期末，用地开发重点仍然是盘活内部存量，加快旧区改造，同时在老街里居住组团、铁东居住组团适度开发二类居住区。</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1" w:name="_Toc32757"/>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第四节 优化中心城镇综合交通组织</w:t>
      </w:r>
      <w:bookmarkEnd w:id="81"/>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提出交通发展策略</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坚持慢行友好、公交优先，合理布局城市道路系统、公共交通系统、慢行交通系统和各类交通枢纽场站，倡导“公交+自行车+步行”的绿色出行模式，建构县城片区与干线公路以及协同区其他组团整体对接的路网体系，综合布局各类交通设施，打造便捷、安全、绿色、智能、经济的现代化交通体系。</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统筹重大交通设施布局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铁路。对外铁路维持牡佳铁路、牡佳高铁走向不变，配合牡佳铁路既有线路电气化完善配套设施，完善铁路站点和配套设施建设；对内铁路包括化工铁路、水泥厂铁路和森工铁路，结合使用功能完成升级改造。</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公路。对外规划2条国道高速一级公路，其中，鹤大高速（G11）保持现状、依饶公路（S307）城区段改线，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高等级公路，其中桦依公路（S514）、鹤大公路（G201）、桦林公路（G221）保持现状；对内规划。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对外出入口。规划中心城区对外公路出入口8处，其中鹤大高速（G11）互通口、桦依公路（S514）出入口2个、学府街出入口保持现状，规划新增红旗路出入口2个、通顺路出入口、保卫路出入口。</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对外交通场站。规划2处火车站和1处客运站，其中桦南客运站保持现状，扩建现有桦南火车站，桦南东高铁站投入使用，强化路网对接和多种交通方式衔接。</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道路网构建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构建级配合理、功能完善的城市道路网。采取 “疏堵提畅”措施，便捷连通的干路网，满足县中心城镇对外交通需求；尺度宜人的城镇街道，形成开放活力的城镇街区，保障城镇交通微循环；以服务人为中心设计城镇街道，满足交通出行，促进社会交往，构建小街区、密路网的路网体系。中心城镇整体道路网密度（4.45）控制在 5-10 km／km²，人均道路用地面积为。m²。.</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干路系统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依据中心城区现状道路条件和城市空间布局，中心城区道路将在原有的路网基础上规划为外环加方格网的路网格局，形成“一环一圈五横五纵”的交通性干路系统。</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道路等级</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路网系统由主干路、次干路、支路三级组成，实现区域交通无缝衔接。</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主干路。东西向串联街里片区、主城片区、柳毛河片区和双合片区，南北向连接河北片区、高新区和主城片区；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次干路。结合社区生活圈布局次干路，集散支路交通，服务社区之间的出行交通，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支路。采取多种方式灵活组织支路交通，核心区支路可配对、单行，提高通行效率，创造活跃的沿街界面；社区中心周边支路释放采取管控措施，减少机动车出行，营造安全的步行环境和舒适的交往空间。</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道路红线与横断面</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主干路道路红线宽度45米、40米，道路断面采用一块板、两块板或三块板形式；次干路道路红线宽度35米、32米、30米、27米，道路断面采用一块板、两块板或三块板形式；支路红线宽度为25米、20米，道路断面采用一块板形式。</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公共交通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规划公交首末站 2 处，区域型公交枢纽 1 处，组团型公交枢纽 1 处，服务各类公交车辆停放和首末发车。</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规划社区公交换乘中心 4 处。支线和响应式公交车辆可利用社区公交换乘中心短时停放，每处社区公交换乘中心按照至少服务 2-3 条公交线路上下客并兼顾响应式公交候客和共享单车停放规划设计场地。</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慢行交通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设完整连续的步行和自行车网络。在市政道路红线内高标准布置步行和自行车道，加强步行、自行车与其他交通方式的衔接。营造舒适宜人的慢行交通环境，全面实施街道无障碍设计，建立高质量的慢行交通体系。</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静态交通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鼓励配建停车、立体停车，停车场原则布局在地下，严格限制路内占道停车。按照步行 5-10 分钟划分停车单元，根据绿色出行目标控制单元内社会停车供给总量。逐步推行智能化车位预约，通过价格杠杆调控社会停车需求。</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2" w:name="_Toc2846"/>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第五节 完善中心城镇公共服务设施与社区生活圈</w:t>
      </w:r>
      <w:bookmarkEnd w:id="82"/>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公共服务设施体系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至2035年，规划公共管理与公共服务用地面积为。，人均公共管理与公共服务设施用地面积为。。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公共服务设施规划主要分为三个层次：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第一层次是服务于整个城市的城市级公共服务中心，主要分布在新兴路。</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第二层次是服务于各组团的公共服务中心，主要位于老街里和北部新区。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第三层次是服务于居住区的住区级的公共服务设施，主要结合居住区配建。</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公共服务设施布局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教育设施。规划新建中学每千人口中按70名中学生计算配建相应规模中学，服务半径1000米，用地规模不小于2公顷，规划保留7所中学；规划新建小学每千人口中按60名小学生计算配建相应规模小学，服务半径500米～800米，用地规模不小于1.5公顷，规划共10所小学，其中保留第一小学、第四小学、第五小学、第六小学、第七小学、实验小学、前进小学和培黎学校教育用地；规划新增2处小学用地，分别位于老街里组团和城中组团；规划保留职业技术教育中心、党校、特殊教育学校和旭宏钢结构研发中心，并对其进行维护和修缮；新建居住区或居住小区均需按国家有关标准配置小学、幼儿园、托儿所，各类学校数量及用地应充裕，中小学需配置必备的体育活动场地，如操场、跑道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文化设施。规划保留现状老年活动中心，博物馆、图书馆、文化馆三馆合一建筑，新建组团级文化中心，结合规划的各居住社区商业服务中心布置文化活动站，为社区内居民提供方便的文化娱乐服务。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体育设施。规划保留现状体育公园和游泳馆。规划新建县级体育中心2处，分别为新区极地运动中心和老街里综合体育中心。规划居住社区内均应按国家有关标准结合中小学设置社区级体育设施，在现有基础上扩大服务层面，形成完善的体育设施系统，并将中学的体育场馆向城市居民开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医疗卫生设施。规划保留现状人民医院、桦南县中心卫生院、妇幼保健院等4处医疗卫生设施，迁址新建疾控中心，新建3处医疗卫生用地。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社会服务设施。规划保留并扩建现状鸿洋老年公寓、天伦老年公寓，新建1处县级社会福利中心，包括社会福利院、康复中心、养老院等，新建1处老年公寓。</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3" w:name="_Toc8883"/>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第六节 完善中心城镇市政基础设施体系</w:t>
      </w:r>
      <w:bookmarkEnd w:id="83"/>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区域统筹，保证安全水环境</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基于水资源承载能力，结合发展实际，合理控制用水规模。规划2035年中心城镇人均综合用水量指标采用为。升/日，日变化系数取为。，预测2035年最高日用水量为。万立方米。优先保障生活用水安全，坚持农业用水负增长、工业用水稳步增长、生态用水适度增长，优化用水结构。</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面推进节水型社会建设，强化用水节水规范化、标准化、精细化管理。生态环境、市政杂用优先使用再生水、雨洪水。促进生产和生活全方位节水。规划2035年中心城镇建成再生水梯级循环利用系统。规划结合污水处理厂建设1座再生水厂，规模按全部污水深度处理预留用地。</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节水优先，构建多水源的水资源保障体系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注重水资源涵养，形成地下水与地表水联合调度的供水格局。完善供水设施，严格控制地下水开采，增强地表水调蓄能力，加强应急水源储备，采用集中与分散相结合的供水方式。</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优化水资源调度，规划地下水源2处，地表水源引自向阳山水库，保障中心城镇供水安全。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地下水源2处，一处位于鹤大高速西侧红历村双利屯，另一处位于八虎力河北侧；北部工业园区水厂采用地表水源，引自向阳山水库。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规划建设供水设施共3处，其中扩建自来水公司1处，新建净水厂1处，新建给水泵站1处。规划2035年中心城镇供水安全系数达到为。。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规划扩建现状自来水公司，位于新兴路北侧，政府东侧，日供水规模为。万立方米，占地面积为。公顷。</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规划在工业园区东侧新建净水厂，水源取自向阳山水库，日供水规模为。万立方米，占地面积为。公顷。</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规划在友谊路和文卫路交叉口西北角（体育场西侧）新建一座给水泵站，占地面积为。公顷。</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加强海绵城市建设，完善雨污处理体系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采用集中和分散相结合、截污和治污相协调、雨污分流的排水体制，完善雨污收集处理及再生水利用设施建设，逐步实现雨污的全收集、全覆盖与全处理。将海绵城市理念贯彻规划建设管理全过程，基于水功能区水质达标方案，采用“渗、滞、蓄、净、用、排”等方式，综合运用排水渠道、雨水调蓄区、雨水管道及雨水泵站等多种设施，截流并处理初期雨水完成就地消纳和利用，控制城市非点源污染，改善水体体制，促进水生态健康发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基本建成与城镇发展相适应的排水系统。规划雨水管渠设计重现期为2年一遇，主要雨水管道出口内顶高程基本不低于规划河道20年一遇洪水位。规划划分为。个污水排水分区，收集雨水就近排入受纳水体，在地势低洼的汇水区域规划设置为。个雨水提升泵站。</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规划2035年中心城镇污水量为。万立方米/日，污水处理设施安全系数为。。规划建设城镇污水处理厂共2处，规划扩建污水处理厂1处，现状保留污水处理厂1处。规划至2035年城镇污水处理率达为。％以上。</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保留现状中心城镇北部污水处理厂，远期提高其处理能力到每日为。万立方米，占地面积为。公顷。</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规划2035年中心城镇污泥减量化、资源化、无害化治理有效。规划建设污泥处理厂1处，规模为。吨/日。</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坚持绿色发展理念，构筑坚强的城市供电网络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规划提高中心城镇供电和供电质量，建设“结构完善、技术领先、高效互动、灵活可靠”的现代化智能电网,，逐步实现N-2不损失负荷的目标。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规划2035年中心城镇年人均用电量为。亿千瓦时，用电负荷为。兆瓦。2035年中心城镇形成为。处220千伏变电站，为。处110千伏变电站的设施布局，现状新建为。处220千伏变电站，为。处110千伏变电站。</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桦南县中心城镇电源取自220 kV芦家变。规划保留现状220千伏芦家变、110千伏桦南变、110千伏桦西变、桦南热电厂，公共电源接至中心城镇东侧现状110kV桦南变。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规划采用中心开闭站进行配电，使整个中心形成多电源、供电可靠性强的高质量环状配电网络。中心城镇全部公用变压器采用户内式或箱式组合结构。主要道路及广场的路灯线路采用地埋电缆。</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规划合理规划区域高压走廊，中心城镇的集中建设区原则上不新增高压走廊，新增线路主要利用地下电缆廊道并整合现状走廊。</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保障民生需求，建设安全可靠的燃气供应体系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以安全供气、保障民生需求为重点，夯实气源转换工作，加快天然气管道建设，做好新旧管网衔接，实现与周边燃气系统互联互通，推动燃气设施智能化改造，提高燃气系统智能化水平，逐步构建安全、高效、协同的燃气系统。规划集中建设区供气优先保障居民生活和商业用气，适当发展天然气分布式能源，热源用户专网供应。</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规划2035年中心城镇天然气年用气量为。万标立方米，天然气居民气化普及率达到80％。</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气源采用压缩天然气，优化整合液化石油气供应市场。规划中心城镇气源共X处，现状保留现有液化气站，新建天然气门站、CNG汽车加气站与CNG储配站合建等3处气源。管道天然气难以到达的地方采用瓶装液化石油气为气源，清理整顿不规范的液化石油气充装站，结合市场发展新建液化石油气充装站X处。</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强化配送体系建设，保障市场供需平衡和安全运行。规划建设次高压、中压（A）二级输配系统。保留为。油气走廊，预留为。联络线油气走廊，走廊宽度控制在100-130米。供热中心站采用次高压专网配气，居民生活和商业用气采用中压（A）官网配气。</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优化区域能源结构，实现绿色智能的供热安全保障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综合能源资源禀赋，按照“可再生资源优先，常规能源保障”的原则，构建多能互补、协同供应的供热体系，推动供热能源多元化发展。搭建支持多种能源灵活接入的分层分区供热系统，实现供热网络互联互通。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规划利用现状热电厂的供热能力，供热能力范围以外的全部采用清洁能源分散供热。以电力和天然气作为供热基础能源，中深层地热作为天然气的替代能源，因地制宜利用千层底热河太阳能等可再生能源。</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积极推进智能化区域集中供热普及。新建公共建筑优先采用新能源与可再生资源供热，加快既有建筑节能改造，全面提升供热服务质量与居住品质。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规划2035年中心城镇供热面积为。万平方米，热负荷为。兆瓦，供热普及率为。。基本实现无煤化，可再生能源供热比例达到5％。</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规划形成“X个集中供热分区、X个热网”的供热主体格局。</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实施垃圾分类处理，构建集约高效的环卫管理系统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1.环卫系统建设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坚持垃圾减量化、资源化、无害化原则，着重提升人居环境，以生活垃圾分类收集为契机，推动环卫管理系统逐步完善，实现中心城镇整体环卫水平大幅提高。</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设集中与分散相结合的环卫体系。生活垃圾建立“投放点、收集站、转运站、静脉产业园”的收运处置模式；厨余、餐饮、建筑和医疗垃圾分别通过专业运输车辆送往静脉产业园分类处理处置。加快引入智能环卫管理平台，推动环卫运行监管数字化、精细化。</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规划2035年基本实现原生生活垃圾零填埋，生活垃圾清运、焚烧和生化处理能力达到为。吨/日。</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2.环卫设施布局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设桦南静脉产业园，园区内新建生化处理设施1处、再生资源分拣中心1处，提升生活垃圾综合处理能力和资源循环利用水平。规划扩建生活垃圾填埋场，占地为。公顷；规划新建建筑垃圾资源化利用中心1处，占地为。公顷；规划新建医疗垃圾处理中心1处，占地为。公顷；规划新建危险废物处理中心1处，占地为。公顷。</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规划建设环卫车辆专用停车场、大件垃圾拆解点和可回收物转运站。结合停车场，新建、升级改造中心城镇垃圾转运站为。处。按适宜的服务半径设置垃圾投放点、地下分类垃圾收集箱、垃圾收集站等设施。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公共厕所以附属式为主，独立式为辐。废物箱设置逐步由道路两侧调整至公共场所、人流密集区。 </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支撑智慧城市发展，完善信息基础设施建设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1.智能信息网络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建设安全高速的固定通信网、泛在无缝的移动通信网、广域覆盖的物联感知网、可靠安全的信息化专网，构建高速智能的下一代互联网和新型网络架构。加快全面部署第五代移动通信网络，加速各类设施的智能化改造，统筹考虑各类设施的共建共享和资源预留，推动与智慧设施的高速融合。打造高速、泛在、融合、安全、智慧的新一代智能城市信息基础设施。打造以物联为基础、数据为纽带、人工智能大数据等新技术为驱动的新型智慧架构，实现数字桦南与实体桦南同步规划、同步建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2.通信设施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规划建设通信设施为。处，其中通信铁塔为。处、基站为。处、电信局为。处、微波站为。处、中继站为。处，规划建设5G移动通信宏基站，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3.邮政设施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规划保留现状2处邮政支局，并继续扩展邮政业务范围，完善邮政全程服务网络体系，推进邮政业标准化、自动化、信息化进程，逐步形成以智能服务为主要特征的现代邮政业。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4.广播电视设施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规划保留现状桦南县广播电台1座，有线电视台1座。实现广播电视网络全覆盖。采取光纤到户方式承载业务，通过NGB-W网络实现区域的广播电视无线网络信息全覆盖。</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5.其他新型基础设施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完成现有移动通信宏基站设备升级，2G、3G、4G网络及各类物联网络基站与5G基站共址建设，在无线通信盲（忙）区建设移动通信微基站，与宏基站协同覆盖。</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通信线路原则上由现状架空线路及小孔径通信管道向共建共享逐步过渡，采用综合管廊、浅埋缆线沟、通信管道、组合排管等多种方式结合敷设。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建设智慧物流信息平台，实现智能配置物流资源、智能优化物流环节、智能提升物流效率。</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4" w:name="_Toc759"/>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第七节 完善中心城镇公共绿地与开敞空间系统</w:t>
      </w:r>
      <w:bookmarkEnd w:id="84"/>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绿地系统规划指标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规划中心城镇绿地与广场用地面积。公顷，人均绿地面积。平方米，覆盖率。</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绿地系统网络化布局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规划形成“一带引领、双轴联动、绿廊环绕、多园点缀”的绿地系统布局结构。 “一带”指依托贯穿城区的向阳灌渠打造的滨水绿带；“双轴联动”指苗圃路南北向绿化轴、泰平街东西向绿化轴；“绿廊”指依托铁路、高速防护绿带串联八虎力河防护绿带形成的环城绿廊；“多园”指区域公园、社区公园以及开敞空间。</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结构性绿地及重要水体控制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规划中心城区形成“河—渠—湖”的水系格局。“一河”指位于中心城区北部的八虎力河；“一渠”指横穿中心城区东西向的向阳灌渠；“一湖”指位于皮革城南部的桦西湖。</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疏通水道，对老街里排水渠进行清淤处理、渠道整治，通过雨洪收集，作为桦西湖的补水渠道。水系连通，将老街里排水渠、桦西湖、铁东排水渠与向阳灌渠串联，形成城市内部水系连通的格局，同时依托向阳灌渠、铁东排水渠打造向阳湿地公园和铁东湿地公园，构建健康循环的水体景观系统。</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5" w:name="_Toc13969"/>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第八节 保护中心城镇自然与历史文化</w:t>
      </w:r>
      <w:bookmarkEnd w:id="8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构建“一区多点”的历史文化资源保护体系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完善历史文化整体保护格局。深入挖掘桦南历史文化底蕴，以向阳灌渠、桦林公路水陆两线串联各类历史文化遗存，构建为。x的整体保护格局。划定历史文化保护线，严格控制历史文化保护重点管控区的建筑高度与开发强度，保障各类历史文化资源本体安全，营造传统文化与现代文明交相辉映的人文环境。健全历史文化保护线的划定机制，逐步扩大管控范围，到2035年历史文化保护重点管控区占中心城镇总面积的比例达X％以上。</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一区指革命文物保护利用片区；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多点包括各级不可移动文物（包括文物保护单位与尚未核定公布为文物保护单位的不可移动文物）、历史建筑、地下文物埋藏区、工业遗产以及其他经过行政认定公布的遗产等各类历史文化资源。</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形成全覆盖的桦南文化传承体系。强化历史景观营造，重点围绕农耕文化、淘金文化、抗联文化、知青文化，丰富文化遗产展示，促进文化设施建设，引导公众自觉保护与传承历史文化。塑造彰显桦南记忆的文化魅力场所，利用爱国主义教育基地、城市绿道和文化景观廊道组织文化追踪探访路，依托特色景观与历史文化资源划定文化精粹区，形成点、线、面相结合的桦南历史文化景观体系。围绕各级文化设施植入丰富的文化活动，做好文物征集和保护，激励公众保护文化遗产、传承历史文脉，讲好桦南故事。</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强化一区整体保护</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严格落实革命文物保护利用片区遗产保护要求。高质量完成“保护好、传承好、利用好”三篇文章，重点加强抗战遗址的保护与传承，提升红色文化内涵，擦亮桦南抗联文化名片。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积极拓展革命文物保护利用片区遗产保护内容。按照遗产类、挖掘类、环境类、文创类等四种类别，区分轻重缓急，分类推进。深入挖掘与革命文物保护利用片区相关的建筑、遗址、历史村镇以及相关联的环境景观等各类遗产，健全革命文物保护利用片区遗产管理与展示体系，处理好遗产保护与开发利用的关系。</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促进多点全面保护</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加强文物保护，确定保护名录，全面开展文物保护区划划定工作。文物保护单位需依法、原址、原物、原状进行保护，注重保护周围环境历史风貌，修缮改善等活动需要遵守不改变文物原状的原则，重视保全历史信息。对已划定公布保护范围及建设控制地带的文物保护单位，应严格执行其管理规定。县级文物保护单位5处，严格保护的基础上可适当保护性开发或创新方式展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中心城镇现存县级文物保护单位5处，即七星林场七星砬子东北抗联根据地遗址、福庆社区侵华日军飞机堡、奋斗社区湖南营抗日战斗遗址纪念碑、奋斗社区侵华日军工事遗址、前进社区侵华日军飞机堡；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般文物保护单位6处，即奋斗社区烈士陵园、正东村东侵华日军飞机场防御工事、正北村侵华日军千振医院遗址、正北村侵华日军千振警察署遗址、正北村侵华日军千振照像馆遗址、铁西社区侵华日军火车站候车室遗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不断挖掘历史文化内涵，丰富保护对象，做到应保尽保。加强优秀近现代建筑保护、工业遗产活化利用，传承红色革命文化，完整保护七星林场七星砬子东北抗联根据地遗址、福庆社区侵华日军飞机堡等红色纪念地。逐步完善地下文物埋藏区划定工作，全面保护地下文物。</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面阐释遗址的价值和内涵，创新保护利用方式。将历史文化资源保护与城市公共文化设施和公共空间建设有机结合，围绕遗址保护区范围内土地确权、用地性质调整、文物补偿、产业调整及转型开展深入研究，积极提升遗址的展示利用水平和服务公众、服务城市建设的能力。</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带动非物质文化遗产等优秀传统文化传承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深入挖掘非物质文化遗产，加强非遗传承活动。加强为。等非物质文化遗产代表性项目的保护与传承，构建传承传播空间网络、培育社会传承人群、引导“非遗在社区”实践示范，推动非物质文化遗产在社区中的保护和传承，探索建设氛围浓厚的非遗特色社区，进一步培育非遗在城市中传承发展的土壤，探索在城市中传承发展的有效方式，维护和营造非遗传承发展的良好生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发掘与保护老地名、老字号、历史名人、民间传说等其他优秀传统文化，彰显地域文化魅力。对乡愁资源进行保护及活化利用，保护、保留历史建筑与传统风貌建筑、街巷空间、活动场所与古树名木，更新物质空间环境，转换使用功能。</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引导多元文化融合发展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整体提升致中大街（学府路），塑造激昂热烈的形象气质。通过补短板强弱项，积极推动致中大街的建设提升。采用先进的设计理念，呈现抗联文化，以现有的历史文物和文史资料为基础，结合桦南的历史、文化和风情，提高公众历史认识，通过历史遗存利用、文化景观展览及公共空间的精心营造，营造主题景观、塑造文化节点，着重勾勒致中大街景观带，点缀致中公园和致中广场，强化沿线景观设计，同步改善人居环境品质，打造城市名片、红色旅游目的地、红色教育基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发挥功能区示范引领作用，推动文化产业繁荣。围绕桦南森林蒸汽小火车休闲旅游区，发展旅游休闲和文化交流产业。围绕幸福湿地时尚文化创意产业园，培育以时尚设计为核心的文化创意产业。围绕老街里民宿影视基地，发展现代传媒、艺术推广、展演交流等文化创意产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建设先进惠民的文化设施集群，规划和启动建设 “美术馆、青少年宫、规划馆”三馆、水泥工业博物馆、抗联英雄祁致中纪念馆等一批标志性公共文化设施，推动文化设施共建共享，提供提升高品质文化交流场所，提升桦南文化活力与内涵，创建历史文化展示窗口，全方位、系统性提升桦南文化生活品质，丰富公众文化体验，满足公众多样化多层次精神文化需求。</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发挥桦南森林蒸汽小火车的名片价值，活化利用工业遗产。通过空间重构织补恢复历史风貌，结合龙江森工桦南森林铁路、森铁文化园、森工大院、七星峰抗联纪念馆建设基地，实现保护和利用“龙江森工桦南森林铁路” 国家工业遗产，成为名副其实的“工业革命活化石”、“世界级旅游珍品”。萃取文化精髓，弘扬文化精神，梳理、提炼、统一森林蒸汽小火车的文化符号与文化标识，大力弘扬桦南森林蒸汽小火车文化品牌形象，强化政府治理与社会资本的内在联系，培育新型文化业态与文化消费模式，为发展文化旅游产业提供有力支撑。</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6" w:name="_Toc67939169"/>
      <w:bookmarkStart w:id="87" w:name="_Toc579"/>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第九节 管控中心城镇地下空间开发</w:t>
      </w:r>
      <w:bookmarkEnd w:id="86"/>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区域</w:t>
      </w:r>
      <w:bookmarkEnd w:id="87"/>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重点设防目标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指挥控制系统目标：县委、县政府、县人武部、县广电大楼、县电信大楼；</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生命线”系统目标：医院、消防站、水源、变电站、桥梁；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重要物资储备系统目标：粮库。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对上述重点目标进行加固伪装，以人员隐蔽工事为主体，以医疗、通讯、交通、消防、物资、治安为配套的，以重点防护目标为重点，构筑一定规模的骨干工程。</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人防布局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人防布局应以有利于战时的防空和平时的防灾为目标。在突袭发生时，能保证人员迅速进行疏散、集结和掩蔽，物资能够快捷顺畅送达。优化防护空间布局与城市人口和建筑密度相协调，坚持城市的“分散组团式”的布局结构，充分利用河道、公路、山体等实施隔离，并按照规划严格控制隔离空间，以利于平时防御灾害，战时防空抗毁。</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紧急疏散通道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规划城镇战时人口疏散方向，逐步建立起以对外公路出口为依托，城镇主干路、次干路、支路为主体的人员疏散道路交通骨架。疏散道路应具备安全性、通畅性、通达性和便捷性等较好条件。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为保证疏散安全可靠，必须对沿街建设严格管理，消除隐患，控制沿街新建高大建筑物退后红线距离、道路交叉口处建筑物的建筑密度和建筑高度以及沿街招牌等易掉落物等，紧急疏散场所内外的疏散通道有效宽度不宜低于4m，固定疏散场所内外的疏散主通道有效宽度不宜低于7m。与城市出入口、中心疏散场所、县政府抗震救灾指挥中心相连的救灾主干路不宜低于15m。主通道两侧的建筑应能保障疏散通道的安全畅通。</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公共设施建设规划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通信：规划通信电缆改为地下电缆，改进通信报警系统的单一控制，改为统一控制，到2030年实现反应灵敏，快速指挥，使人防和电信、军队结合，平时为生活、抗灾服务，战时为防空袭提供可靠通信保障。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供电：为保证重要目标有二路以上电源，结合电网改造将局部架空线改为地下电缆，建设互相代替、互相保障、多环路的供电网络，结合自备电源地下化，保证平战供电的稳定性和可靠性。</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水源：设双线管道，配水管采用环状和枝状相结合，新建和改造旧管道时要在主次干路上设消防栓，保障消防用水。</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地下空间开发利用规划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规划原则。将城市地下空间作为一种资源进行保护性开发，地下空间开发利用要形成体系，并与地面设施相协调和补充。</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规划布局。规划中心城镇以地下步行街的方式为主要建设内容，主要建设前进路与新兴街地段地下空间，规划建设地下商业设施、地下步行通道、地下停车场以及相关配套设施，形成中心城镇地下步行街。</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88" w:name="_Toc67939172"/>
      <w:bookmarkStart w:id="89" w:name="_Toc157"/>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第十节 城市公共安全与综合防灾</w:t>
      </w:r>
      <w:bookmarkEnd w:id="88"/>
      <w:bookmarkEnd w:id="89"/>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90" w:name="_Toc395343791"/>
      <w:bookmarkStart w:id="91" w:name="_Toc395711557"/>
      <w:r>
        <w:rPr>
          <w:rFonts w:hint="eastAsia" w:ascii="仿宋_GB2312" w:hAnsi="仿宋_GB2312" w:eastAsia="仿宋_GB2312" w:cs="仿宋_GB2312"/>
          <w:b/>
          <w:bCs/>
          <w:sz w:val="28"/>
          <w:highlight w:val="none"/>
          <w:u w:val="none"/>
          <w:lang w:val="en-US" w:eastAsia="zh-CN"/>
        </w:rPr>
        <w:t>防洪规划</w:t>
      </w:r>
      <w:bookmarkEnd w:id="90"/>
      <w:bookmarkEnd w:id="91"/>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1．防洪标准</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根据中心城镇现有堤防建设情况和《城市防洪规划规范》（GB 51079-2016）规定，确定桦南县城市防洪标准为IV级，八虎力河防洪标准采用50年一遇。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2．防洪工程规划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采取工程措施和非工程措施相结合、防洪排涝设施建设与美化城镇、保护环境相结合，在汇水区结合实际情况设截洪沟，因防洪设计影响造成的内涝，应采取必要的排涝设施。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中心城镇应完善排水系统；对冻胀的影响采取相应的防治措施。</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92" w:name="_Toc318981072"/>
      <w:bookmarkStart w:id="93" w:name="_Toc395711558"/>
      <w:bookmarkStart w:id="94" w:name="_Toc319148531"/>
      <w:bookmarkStart w:id="95" w:name="_Toc319407388"/>
      <w:bookmarkStart w:id="96" w:name="_Toc395343792"/>
      <w:bookmarkStart w:id="97" w:name="_Toc345695391"/>
      <w:r>
        <w:rPr>
          <w:rFonts w:hint="eastAsia" w:ascii="仿宋_GB2312" w:hAnsi="仿宋_GB2312" w:eastAsia="仿宋_GB2312" w:cs="仿宋_GB2312"/>
          <w:b/>
          <w:bCs/>
          <w:sz w:val="28"/>
          <w:highlight w:val="none"/>
          <w:u w:val="none"/>
          <w:lang w:val="en-US" w:eastAsia="zh-CN"/>
        </w:rPr>
        <w:t>消防规划</w:t>
      </w:r>
      <w:bookmarkEnd w:id="92"/>
      <w:bookmarkEnd w:id="93"/>
      <w:bookmarkEnd w:id="94"/>
      <w:bookmarkEnd w:id="95"/>
      <w:bookmarkEnd w:id="96"/>
      <w:bookmarkEnd w:id="97"/>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1．消防安全布局规划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结合中心城镇用地性质、布局结构、火灾危险性和消防重点保护的需求，中心城镇的重点消防区和一般消防区具体如下：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重点消防区为：中心城镇的政府行政办公区、商业金融中心、文化教育、医疗卫生、粮库、CNG储配站、液化气站、大中型企业等设施。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一般消防区为：重点消防安全保护区之外的其它城市用地。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2．消防站布局规划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一级普通消防站消防车辆不少于6辆，二级普通消防站车辆不少于3辆，完善个人防护装备，增加云梯等特种器材，满足高层建筑的灭火要求，常规器材必须达到规定的配备标准，保证足够的训练场地。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3．消防给水、通讯、供电规划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完善现状供水设施，结合城镇给水管网的改造和建设，扩建水厂，增大管径，提高管网压力和供水能力，支状管网改为环状，刚性接头改为柔性接头，使桦南县中心城镇给水管网能够满足消防用水。消防栓平均间距按120m进行配置，在城镇中心区重点建筑物及高层建筑物前提高消防栓密度，在居住区按150m间距进行配置，消防栓采用地下式，沿道路两旁设置，宜靠近道路交叉口。</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结合七虎力河、向阳干渠、红旗干灌、桦西湖等自然水体作为消防取水点，无市政消火栓或消防水鹤的区域应设置消防水池，其蓄水的容量最低不宜小于100m³，建议在控制性详细规划中进行点位控制。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规划建立消防指挥与火灾档案信息库；确定火警受理、消防有线（无线）通信 、火场指挥、消防信息综合管理、训练模拟、消防培训等各子系统的功能集成、硬件及软件配置、技术条件；建设建立能够胜任系统建设、管理、维护和使用的技术队伍需要配备的专业人员数量；建立完善的城市消防通信指挥中心，及其与消防站和政府供水、供电、供气、急救、交通、环保等部门以及消防重点单位的通信专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对旧城区等火灾风险较高的地区逐步实施改造，采取增建小型消防水池，增加小型消防装备，成立义务消防小组，开辟防火间距和消防车道等措施，改善消防条件。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4．消防通道及疏散、避难场地规划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主次干路为消防车的主要通道，因此在道路建设时应充分考虑消防要求，并加强作为消防车主要通道的次干路建设，以保证消防车通道的畅通。主要包括前进路、融商街、丰胜街、热电街、金辉大街、新兴街、友谊街、苗圃路、红旗路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街区内的道路应考虑消防车的通行，其入口与通道中心线间距不宜超过160m，消防车道的宽度不应小于4m，转弯半径不应小于12m；街区尽头式的消防车道应设面积不小于15×15m，大型消防车的回车场不宜小于18×18m。</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消防干道应满足抗灾救灾疏散的要求，其宽度应保持在干路两侧房屋倒塌后剩余的车行道能够满足消防车通行。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旧城改造过程中，应拆除挤占街路、胡同的三小建筑，规范集贸市场、修建停车场、取缔马路市场和马路停车场，提高路网密度，使各消防责任区内的道路满足5min达到责任区边缘的要求。</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充分利用城市各类公园、广场、绿地、体育场及学校、单位内的广场、运动场作为城市防灾的紧急疏散、避难用地。在城市更新开发建设中，注意开辟一些空地作为城市广场、绿地等兼作疏散、避难用地。</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98" w:name="_Toc395343793"/>
      <w:bookmarkStart w:id="99" w:name="_Toc319407389"/>
      <w:bookmarkStart w:id="100" w:name="_Toc319148532"/>
      <w:bookmarkStart w:id="101" w:name="_Toc345695392"/>
      <w:bookmarkStart w:id="102" w:name="_Toc395711559"/>
      <w:bookmarkStart w:id="103" w:name="_Toc318981073"/>
      <w:r>
        <w:rPr>
          <w:rFonts w:hint="eastAsia" w:ascii="仿宋_GB2312" w:hAnsi="仿宋_GB2312" w:eastAsia="仿宋_GB2312" w:cs="仿宋_GB2312"/>
          <w:b/>
          <w:bCs/>
          <w:sz w:val="28"/>
          <w:highlight w:val="none"/>
          <w:u w:val="none"/>
          <w:lang w:val="en-US" w:eastAsia="zh-CN"/>
        </w:rPr>
        <w:t>人防及地下空间利用规划</w:t>
      </w:r>
      <w:bookmarkEnd w:id="98"/>
      <w:bookmarkEnd w:id="99"/>
      <w:bookmarkEnd w:id="100"/>
      <w:bookmarkEnd w:id="101"/>
      <w:bookmarkEnd w:id="102"/>
      <w:bookmarkEnd w:id="103"/>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1．紧急疏散通道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规划城镇战时人口疏散方向，逐步建立起以对外公路出口为依托，城镇主干路、次干路、支路为主体的人员疏散道路交通骨架。疏散道路应具备安全性、通畅性、通达性和便捷性等较好条件。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为保证疏散安全可靠，必须对沿街建设严格管理，消除隐患，控制沿街新建高大建筑物退后红线距离、道路交叉口处建筑物的建筑密度和建筑高度以及沿街招牌等易掉落物等，紧急疏散场所内外的疏散通道有效宽度不宜低于4m，固定疏散场所内外的疏散主通道有效宽度不宜低于7m。与城市出入口、中心疏散场所、县政府抗震救灾指挥中心相连的救灾主干路不宜低于15m。主通道两侧的建筑应能保障疏散通道的安全畅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2．重点设防目标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（1）指挥控制系统目标：县委、县政府、县人武部、县广电大楼、县电信大楼；</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（2）“生命线”系统目标：医院、消防站、水源、变电站、桥梁；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（3）重要物资储备系统目标：粮库。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对上述重点目标进行加固伪装，以人员隐蔽工事为主体，以医疗、通讯、交通、消防、物资、治安为配套的，以重点防护目标为重点，构筑一定规模的骨干工程。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3．人防报警系统：以800m为半径，增设报警器。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4．次生灾害系统：对易燃、易爆、有毒等危险品企业或仓库，选址应远离居住区和重点防护目标，对原有的应进行控制、搬迁或构筑地下工程，加强安全检查和防护管理，制定防灾应急措施，提高抗毁能力。</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5．人防布局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人防布局应以有利于战时的防空和平时的防灾为目标。在突袭发生时，能保证人员迅速进行疏散、集结和掩蔽，物资能够快捷顺畅送达。优化防护空间布局与城市人口和建筑密度相协调，坚持城市的“分散组团式”的布局结构，充分利用河道、公路、山体等实施隔离，并按照规划严格控制隔离空间，以利于平时防御灾害，战时防空抗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6．公共设施建设规划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通信：规划通信电缆改为地下电缆，改进通信报警系统的单一控制，改为统一控制，到2035年实现反应灵敏，快速指挥，使人防和电信、军队结合，平时为生活、抗灾服务，战时为防空袭提供可靠通信保障。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供电：为保证重要目标有二路以上电源，结合电网改造将局部架空线改为地下电缆，建设互相代替、互相保障、多环路的供电网络，结合自备电源地下化，保证平战供电的稳定性和可靠性。</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水源：设双线管道，配水管采用环状和枝状相结合，新建和改造旧管道时要在主次干路上设消防栓，保障消防用水。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7．人防工程建设规划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（1）人防指挥工程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防空区设1个区级指挥所，区级指挥所为三等指挥所，防核武器的抗力级别为3级～4级，防常规武器的抗力级别为4级。指挥工程应尽量利用隐蔽场所修建，以利于战时防护和隐蔽。指挥工程出入口应设置在安全隐蔽且易伪装的地方。</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（2）医疗救护工程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结合中心城镇医院建设，修建医疗救护工程，防核武器的抗力级别为5级～6级，防常规武器的抗力级别为5级～6级。按照医院功能和级别，修建地下中心医院、急救医院和救护站等医疗救护工程。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（3）专业队工程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人防专业队的组建应按照平战结合、专业对口、便于领导、便于指挥的原则，平时按城区人口的2‰，组建人防专业队。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（4）人员掩蔽工程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人员掩蔽工程分为一等人员隐蔽工程和二等人员隐蔽工程，应与住宅建筑和城市公共建筑布局基本一致，其主要形式是防空地下室，其出入口应按掩蔽人员听到报警后10min内步行进入工程为标准，以方便居民战时出入，其分布密度应与居民的分布密度相一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（5）人防疏散通道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考虑到平时防灾、战时疏散的要求，确定设立两级疏散通道，一级为城市主干路，二级为城市次干路。同时对城市主要道路交叉口进行拓宽改造，以保证救灾与疏散交通的畅通。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（7）配套工程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配套工程包括综合物资库、燃油库、区域电站、供水站等，规划期内需适量建设。</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8．地下空间开发利用规划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（1）规划原则</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将城市地下空间作为一种资源进行保护性开发，地下空间开发利用要形成体系，并与地面设施相协调和补充。</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（2）规划布局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规划中心城镇以地下步行街的方式为主要建设内容，主要建设前进路与新兴街地段地下空间，规划建设地下商业设施、地下步行通道、地下停车场以及相关配套设施，形成中心城镇地下步行街。</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104" w:name="_Toc395343794"/>
      <w:bookmarkStart w:id="105" w:name="_Toc395711560"/>
      <w:bookmarkStart w:id="106" w:name="_Toc345695393"/>
      <w:bookmarkStart w:id="107" w:name="_Toc319148533"/>
      <w:bookmarkStart w:id="108" w:name="_Toc319407390"/>
      <w:bookmarkStart w:id="109" w:name="_Toc318981074"/>
      <w:r>
        <w:rPr>
          <w:rFonts w:hint="eastAsia" w:ascii="仿宋_GB2312" w:hAnsi="仿宋_GB2312" w:eastAsia="仿宋_GB2312" w:cs="仿宋_GB2312"/>
          <w:b/>
          <w:bCs/>
          <w:sz w:val="28"/>
          <w:highlight w:val="none"/>
          <w:u w:val="none"/>
          <w:lang w:val="en-US" w:eastAsia="zh-CN"/>
        </w:rPr>
        <w:t>抗震规划</w:t>
      </w:r>
      <w:bookmarkEnd w:id="104"/>
      <w:bookmarkEnd w:id="105"/>
      <w:bookmarkEnd w:id="106"/>
      <w:bookmarkEnd w:id="107"/>
      <w:bookmarkEnd w:id="108"/>
      <w:bookmarkEnd w:id="109"/>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重点防护目标：医院、学校、影剧院、商场等人员密集场所。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1．规划的指导思想、原则和目标</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坚持抗震减灾工作以“预防为主、综合治理”的方针，建立系统抗震减灾观点，制定震害对策，使中心城镇的建设和抗震能力的提高同步发展，逐步提高城镇的综合抗震能力，最大限度的减轻地震灾害。</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坚持以工程性预防措施和非工程性预防措施相结合。</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城镇抗震减灾规划的目标是城镇在发生基本烈度地震时，能保证城镇经济建设继续顺利进行和保障中心城镇人民群众生命、财产安全和迅速恢复生产自救的能力，保证要害部门不遭受严重破坏和快速恢复生产。</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2．规划布局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（1）抗震减灾指挥中心：规划在县政府设置抗震减灾指挥中心。</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（2）避震疏散规划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当桦南县中心城镇受大于基本烈度Ⅶ度地震袭击时，将有部分砖混结构建筑受损毁，大量棚户区民宅将可能产生中等以上破坏，除少量伤亡者需紧急处置外，其余绝大部分居民为按规定路线有组织地疏散到指定场所。因此，确保地震发生时中心城镇道路的通畅和有足够空间的避震场所是非常重要的。</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将主次干路定为震时居民疏散和救灾货物运输的主通道。在发生破坏性地震时，上述疏散通道要保证畅通，并彼此构成环路及有两个以上出入口与居民区联接。对通向避震场所的道路设置明显路标。主要疏散通道为：交通街、新兴街、前进路、苗圃路、胜利街、丰胜街、友谊街、环城西路、环城南路、铁西路、学府街、红旗路、通顺路、安顺路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基于震时与平时相结合和疏散居民就近避震，其避震疏散半径不大于500m的原则，同时还要满足远离次生灾害源，场所能保证灾期的生活供水，能铺设临时供电和通讯设施。按照上述要求，中心城镇内场所型应急避难场所主要包括中小学操场，体育场，桦西湖公园、秀水公园、紫园、前进公园、园兴公园、向阳公园、怡园、吉园、中心公园、群兴公园、东南公园、通顺公园、同乐公园、建安公园、学府公园、安顺公园、泰平广场、体育广场、市民广场、世纪广场、群兴广场、学府广场等，作为备用震时集中避震场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场所型应急避难场所主要包括利用地下空间（含人民防空工程）、体育场馆、学校教室等公共建筑具有灾时紧急避难和临时生活功能的场所，包括博物馆、体育馆、第一中学等。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内固定避震疏散场所人均有效避难面积为2.0m2/人，中心城镇所需城市避难场所面积为36.46万m2，规划共设置194.2万m2的避难场所，远超过所需面积。疏散场地分为老街里抗震1号组团、老街里抗震2号组团、老街里抗震3号组团、老街里抗震4号组团、老街里抗震5号组团、城中抗震1号组团、城中抗震2号组团、城中抗震3号组团、城中抗震4号组团、城中抗震5号组团、城中抗震6号组团、城中抗震7号组团、新区抗震1号组团、新区抗震2号组团、新区抗震3号组团、产业抗震1号组团、产业抗震2号组团17处避难场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（3）城镇生命线工程抗震减灾规划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镇生命线工程是城镇的基础设施，也是震后抢险救灾的关键，城镇生命线工程包括城镇交通运输系统、供水系统、通讯系统、供电系统、粮食系统、医疗卫生系统、消防系统、供热燃气系统。制定城镇生命线工程的抗震减灾规划，提高各系统的抗震应变能力，对减轻地震灾害，确保震后城镇救灾和恢复建设都将起到重要作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重大建设工程和可能发生严重次生灾害的建设工程，必须进行地震安全性评价，并根据地震安全性评价的结果，确定抗震设防要求，进行抗震设防。</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防护目标有行政机关办公大楼（救灾指挥中心）、邮电中心局和广播电视台（震后通讯宣传中心）、主要医院、长途汽车站、桥梁、变电站、水厂、液化石油气和天然气储配站、消防站、生产及危险品仓库。加强成品粮储备，对现有粮库和粮食加工进行改造；对医院进行加固改造，增加设备，配备自备电源，满足断电时，正常进行医疗救护的要求。</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（4）预防次生灾害规划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市发生地震时极易引起次生灾害，会导致比原生灾害更为严重的灾害，是抗震减灾不可忽视的一个重要方面。根据中心城镇实际情况，存在有震后水灾、火灾两种主要次生灾害。合理调整布局，新建的生产、储存易燃、易爆，有毒物品的工厂、仓库离开城镇生活区，有足够的安全隔离和抗震措施，中心城镇内储存和生产易燃、易爆品的单位，规划期内迁出或改造。重大工程和容易引发严重次生灾害的工程项目，要进行前期地震危险性论证、地震安全性评价及抗震设防审批等工作，避开地震断裂带和抗震性能差的地段，提高工程抗震能力。</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（5）抗震加固规划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中心城镇中原没有按《城市抗震防灾规划标准》（GB50413-2007）进行抗震设防的建筑物、构筑物，分期进行抗震加固，同时结合中心城镇近期建设发展规划，作出统一部署。抗震加固的重点是提高城镇抗震指挥机关、城镇生命线工程、次生灾害源，以及工业与民用建筑等的抗震减灾能力。</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（6）新建工程抗震设防规划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市改建、扩建、新建工程严格执行《城市抗震防灾规划标准》（GB50413-2007）标准。新建一般工业与民用建筑工程应严格按地震基本烈度Ⅵ度设防，重点建设工程及可能发生严重次生灾害的工程，首先应进行抗震安全性评价，根据结果确定建设场地，进行抗震设防。</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（7）市政设施抗震设防规划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中心城镇配电线路应形成环路，提高供电可靠性；城镇供水管网采用环状形式，加强供水可靠性，保证震时分割和局部地区正常供水；加强通讯设施，线路逐步改造为地下电缆。</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110" w:name="_Toc395711561"/>
      <w:bookmarkStart w:id="111" w:name="_Toc395343795"/>
      <w:bookmarkStart w:id="112" w:name="_Toc345695394"/>
      <w:r>
        <w:rPr>
          <w:rFonts w:hint="eastAsia" w:ascii="仿宋_GB2312" w:hAnsi="仿宋_GB2312" w:eastAsia="仿宋_GB2312" w:cs="仿宋_GB2312"/>
          <w:b/>
          <w:bCs/>
          <w:sz w:val="28"/>
          <w:highlight w:val="none"/>
          <w:u w:val="none"/>
          <w:lang w:val="en-US" w:eastAsia="zh-CN"/>
        </w:rPr>
        <w:t>地质灾害防护规划</w:t>
      </w:r>
      <w:bookmarkEnd w:id="110"/>
      <w:bookmarkEnd w:id="111"/>
      <w:bookmarkEnd w:id="112"/>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地质灾害防治坚持“预防为主，防治结合；属地管理，分级负责；谁破坏，谁负责；谁受益，谁治理”的原则，具体内容如下：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1．“预防为主，防治结合”。完善地质灾害监测预警系统，以群策群防为主；对一般性地质灾害，以截排水工程及生物工程为主，稳定性很差的地质则以避让为主。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2．“属地管理，分级管理”。根据《地质灾害防治管理办法》，应搞好辖区内的地质环境保护，负责辖区内地质灾害的监测工作；对行政区内的地质灾害防治工作实施统一管理。</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3．“谁破坏，谁负责”。由于人为不合理切坡、填土加载、毁林开荒等工程活动所引起的地质灾害，应由负责该工程的有关单位及个人承担责任，负责治理。</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4．“谁受益，谁治理”。对危及具体工程和单位的地质灾害，应由受益的单位和个人负责治理。</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113" w:name="_Toc25203"/>
      <w:bookmarkStart w:id="114" w:name="_Toc67939174"/>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第十一节 强化中心城镇“五线”管控</w:t>
      </w:r>
      <w:bookmarkEnd w:id="113"/>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黄线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黄线，是指对城镇发展全局有影响的，规划中确定的，必须控制的城镇基础设施用地的控制界线。桦南县中心城镇的黄线包括城镇中的公共交通设施、供水、排水设施、污水处理设施、环境卫生设施、燃气供应设施、供热设施、供电设施、通信设施、消防设施、防洪设施、城市抗震防灾设施以及其他对城镇发展全局有影响的城市基础设施的控制线范围。</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蓝线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zh-CN" w:eastAsia="zh-CN" w:bidi="ar-SA"/>
        </w:rPr>
      </w:pPr>
      <w:r>
        <w:rPr>
          <w:rFonts w:hint="eastAsia" w:ascii="仿宋_GB2312" w:hAnsi="仿宋_GB2312" w:eastAsia="仿宋_GB2312" w:cs="仿宋_GB2312"/>
          <w:kern w:val="2"/>
          <w:sz w:val="28"/>
          <w:szCs w:val="28"/>
          <w:u w:val="none"/>
          <w:lang w:val="en-US" w:eastAsia="zh-CN" w:bidi="ar-SA"/>
        </w:rPr>
        <w:t>蓝线，是指规划确定的江、河、湖、库、渠和湿地等地表水体保护和控制的地域界线。桦南县中心城镇的蓝线包括城镇中的八虎力河、向阳灌渠、铁东排水渠、镇北排水渠等水体范围的控制线。</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绿线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绿线，是指城镇各类绿地范围的控制线。中心城镇的城市绿线包括城市公园绿地、防护绿地、道路绿化等城市各类绿地范围的控制线。桦南县中心城镇的绿线控制主要包括城镇中的公园绿地和防护绿地，包括桦西公园、秀北公园、湿地公园等4个城市级公园和20个组团级公园，以及道路、铁路、高压走廊等的防护绿地。</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紫线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紫线，是指国家历史文化名城内的历史文化街区和省、自治区、直辖市人民政府公布的历史文化街区的保护范围界线，以及历史文化街区外经县级以上人民政府公布保护的历史建筑的保护范围界线。桦南县中心城镇紫线控制范围指烈士陵园保护范围的控制线。</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红线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红线，是指依法规划建设的城市道路两侧边界控制线，包括规划和已建成的城镇主、次干道、消防疏散通道等内容。桦南县中心城镇红线控制范围包括主干路含前进路、胜利街、金辉大街、新兴街、交通街、学府街、沿河街、铁西路（北段）、丰胜街、友谊街、苗圃路、华锐路、融商街、环城西路、红旗路、环城东路、桦石街（东段）；次干路含热电北街、丰胜南街、园艺街、建材路、铁西路（南段）、兴企路、中兴路、双果路、保卫路、怡园路、招远路、新曙光路、通林街、桦盛街、桦兴街、正西街、仓储路、桦北街、纬一街、经三路、热电街、园兴街、龙兴街、健康路、新华路。 </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115" w:name="_Toc25266"/>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第十二节 推进中心城镇城市更新</w:t>
      </w:r>
      <w:bookmarkEnd w:id="115"/>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提出以人民为中心的城市更新原则</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提出与发展实际相符的城市更新原则。注重城市发展理念、开发方式、治理模式的更新，以问题为导向、以项目为牵引，聚焦城市存量空间资源提质增效，强化区域统筹、弹性管控，充分调动社会各方积极性，加快推进城市治理体系和治理能力现代化，推动城市更新活动全生命周期管理，建立可持续的城市更新模式。</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以人为本，尊重民意。坚持以人民为中心，尊重民意，切实改善民生。城市更新应当从人民群众最关心的问题出发，顺应群众期盼，解决群众需求。切实改善居住条件，完善公共服务配套，推进基本公共服务均等化，提升城市功能和品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政府引导，市场运作。遵循城市发展内在规律，统筹把控城市更新工作方向。注重激发市场主体的投资活力和创新活力，完善对市场运作的政策引导，促进经济、社会的平稳健康发展。</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多方参与，共治共享。城市更新实施应当依法征求相关部门、利益相关人和社会公众的意见，鼓励公众和社会各界人士参与，群策群力，构建“共商共治，共建共享”的社会治理新格局。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统筹谋划，持续更新。注重更新工作统筹谋划，注重推动区域连片改造，形成示范效应。科学制定城市更新规划和片区策划，在可持续发展的基础上坚持有机更新。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保护文脉，修复生态。注重城市文脉的传承，注重城市肌理的延续，注重保护抗联文化、革命文化等特有的城市历史文化资源，防止城市记忆消失和出现“千城一面”。在城市更新中落实海绵城市、综合管廊建设要求，更新管线管网，补齐城市生态短板，有序实施生态修复。</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盘活资源，促进转型。注重整合创新要素，优化资源配置；激活闲置存量资产，促进新片区内经济要素集聚，激发产业活力，推动产业转型升级。</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形成“面-线-点”的城市更新体系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城市更新空间格局。结合中心城镇功能优化，形成“面-线-点”的更新空间结构，对中心城镇建成区城市空间形态和功能进行整治提升。以主轴扩面，聚焦“两水四岸”主轴及城市功能名片，加强城市重点片区更新；以干线成网，依托前进路、牡佳铁路等功能走廊和环城步道等特色线路，优化城市线路和网络更新；以空间单元布点，差异化改造城市功能区更新。到2035年城市更新区块占中心城镇总面积的比例达X％以上。</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探索多类型全方位的城市更新路径</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识别城市更新主要任务。突出完善功能、提升品质和保护环境，完善产业功能、打造就业创新载体，完善生活功能、补齐公共设施短板，完善安全功能、增强防灾减灾能力，完善人文功能、积淀文化元素魅力，完善生态功能、保护修复绿地绿廊绿道，完成培育新功能、构建新形态、营造新场景。结合中心城镇城镇发展目标，聚焦补短板强弱项，联动周边，策划动能型、保障型、保护型三种城市更新空间单元类型。</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动能型更新包括老旧厂区转型升级、传统商圈提档升级和服务空间提标扩面三类行动，以促进产业新旧动能转换和功能布局的结构调整，为公众创造新的活力空间；</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保障型更新包括老旧小区改造提升、存量房屋整治提升、大型社区开放提升三类行动，立足公众需求，完善社区生活圈，关注住房设施和社区微空间的改造；</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保护型更新包括文化遗产融合发展、工业遗产活化利用、生态空间修复利用三类行动，聚焦历史文脉保护，创新活化利用，促进历史文化、工业遗产与自然山水、城市功能的有机融合。</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全面推进动能型空间单元城市更新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持续强化老旧厂区转型升级。完成厂区存量空间摸底、配套政策完善、项目实施统筹。强化政府主导作用，推进厂区自身改造升级工作，倡导生产空间、生产设施提质增效。开展老旧工业区连片更新试点工作，在中心城镇选择多个试点片区，由县政府主导编制规划，完善基础设施、配套服务设施和公共空间，打造产业转型升级的先行示范样本。鼓励市场主体及管理主体，以整体转型、整合集聚和改造提升等方式自主开展“工改工””工改公”重建改建、旧工业区综合整治、产业用地提升容积率等城市更新行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持续强化传统商圈提档升级。完成传统商圈更新升级并推进智慧商圈建设。加快推进为。X等步行街改造提升，推进为。X等成熟商圈提档升级，加快为。等新兴商圈扩容升级，打造场景化、智能化、国际化的高品质步行街和城市核心商圈。开展智慧商圈示范试点，打造智慧商圈，逐步形成智慧商圈服务体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持续强化服务空间提标扩面。完成公共服务设施补短板强弱项并推进健身步道建设。新建和改建一批便民服务设施和医疗卫生、基础教育、文化体育、社区养老等公共服务设施，形成公共服务设施网络体系。综合利用零星用地、低效用地建设公共活动空间，提升城市公共空间品质。</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全面推进保障型空间单元城市更新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面推进老旧小区改造提升。本着“连线成面”原则，加强相邻小区及周边地区联动改造，完成住区综合改造、管理提升，持续滚动推进中心城镇城镇老旧小区和社区服务提升，倡导服务设施、公共空间共建共享。完善长效管理机制。在实施过程中，坚持一区一策、精准施策，充分征求公众意见并合理制定改造方案，引领物业管理融入基层社区治理，加强既有用地集约混合利用，在不违反规划且征得公众等同意的前提下，允许利用小区及周边存量土地建设各类环境及配套设施和公共服务设施。</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面推进存量房屋整治提升。中心城镇存量房屋盘活利用要做好摸清存量家底、完善政策措施、建立服务平台、统筹项目实施等四方面工作任务，全面推进存量房屋盘活利用工作。深入推进棚户区（含城市棚户区、城中村、国有企业棚户区）改造，切实做好城镇危房搬离整治，坚持因地制宜原则，通过拆除和修缮加固及改扩建等方式，科学对存量住房实施改造提升，消除房屋安全隐患，完善房屋功能配套，提升房屋居住品质，切实改善群众居住条件和环境。</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面推进大型社区开放提升。结合发展现状，在现有大型社区中选择需求较强、潜力较大的进行改造提升，充分发挥试点引领作用，持续梯度推进大型社区改造提升。按照适度超前、综合配套、集约利用的要求，加强大型社区环境改造，整治街容街貌，完善配套设施，统筹老旧街区与城市交通网络，改造提升周边道路慢行交通系统。</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重点引导保护型空间单元城市更新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引导文化遗产融合发展。围绕地域风俗和城市底蕴，依托桦南特色产业、特色产品、特色品牌，突显城市风格，打造地域符号，加强蕴含当地优秀人文景观、历史古迹的保护，塑造有历史记忆、文化脉络、民族特点、桦南特色的高品质街区。充分挖掘整合地方资源禀赋，建设彰显地方特色和突出个性元素的新时代街区改造提升试点。</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引导工业遗产活化利用。选择部分具有重大价值或影响力、规模较大且工业历史风貌完整的优秀工业遗产，适时启动工业遗产保护利用综合工程建设，完善配套商业服务功能，发展以工业遗产为载体的体验式旅游、研学旅行、休闲旅游精品线路。依托工业遗产建设主题突出的工业遗址公园、城市文化公园等。实施城市工业遗产品牌培育提升行动，形成一批具有示范性、带动性和影响力的工业遗产文化产品和服务品牌，提升城市品质，彰显城市特色。</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重点引导生态空间修复利用。完善两水四岸休闲游憩功能，强化公众亲水、用水的体验功能。形成一批标识性的步道系统、公共空间、观景平台，全面改善亲水、观景体验，城市主轴线的文化、艺术、景观、旅游功能显著提升。</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优化完善城市更新工作机制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构建城市更新政策技术体系。适应城市存量提质改造，建立 “1+2+N”城市更新政策技术体系，推动城市集约型内涵式高质量发展。“1”是《桦南县城市更新管理办法》； “2”是由1个更新专项规划、1个更新技术导则组成的城市更新技术文件； “N”是指根据管理办法，由城市更新主管部门按职能职责研究制定的“一揽子”涉及规划土地、项目审批、产业培育、财政税收的配套政策。</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做好城市更新工作组织保障建设。成立桦南县城市更新工作领导小组，负责领导城市更新工作，对涉及的重大事项进行决策；建立联席会议制度，统筹推进各城市更新项目，开展专题协调，及时向领导小组上报项目推进情况；健全城市更新专家委员会，充分发挥决策咨询作用，为城市更新各项工作提供智库支撑；筹建城市更新专项基金，加强与国开行等政策性金融与商业金融的合作，拓展融资渠道，推动建立“投、融、建、运”城市更新一体化投融资模式。</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推进多方联合执行城市更新项目。由政府指定的机构或物业权利人作为前期业主编制项目实施方案，开展前期工作；由政府、物业权利人作为实施主体，或由政府、物业权利人通过直接委托、公开招标等方式引入的相关主体作为实施主体；充分发挥各方主体优势，鼓励政府平台公司与专业化企业开展合作，加大资源整合力度，实现高水平策划、市场化招商、专业化设计、企业化运营。</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116" w:name="_Toc31582"/>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第十三节 城市设计</w:t>
      </w:r>
      <w:bookmarkEnd w:id="114"/>
      <w:bookmarkEnd w:id="116"/>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总体城市设计框架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bookmarkStart w:id="117" w:name="_Toc319407371"/>
      <w:bookmarkStart w:id="118" w:name="_Toc318981056"/>
      <w:bookmarkStart w:id="119" w:name="_Toc345695370"/>
      <w:bookmarkStart w:id="120" w:name="_Toc332699181"/>
      <w:bookmarkStart w:id="121" w:name="_Toc327443457"/>
      <w:bookmarkStart w:id="122" w:name="_Toc335668962"/>
      <w:bookmarkStart w:id="123" w:name="_Toc333303062"/>
      <w:bookmarkStart w:id="124" w:name="_Toc339718299"/>
      <w:bookmarkStart w:id="125" w:name="_Toc319525016"/>
      <w:r>
        <w:rPr>
          <w:rFonts w:hint="eastAsia" w:ascii="仿宋_GB2312" w:hAnsi="仿宋_GB2312" w:eastAsia="仿宋_GB2312" w:cs="仿宋_GB2312"/>
          <w:kern w:val="2"/>
          <w:sz w:val="28"/>
          <w:szCs w:val="28"/>
          <w:u w:val="none"/>
          <w:lang w:val="en-US" w:eastAsia="zh-CN" w:bidi="ar-SA"/>
        </w:rPr>
        <w:t>规划形成“一环、一带、两轴、五区、多点”的总体城市设计框架。</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1．“一环”指由鹤大高速、牡佳铁路两侧绿带及八虎力河滨水景观带共同构成的城市生态绿环。</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一带”向阳灌渠滨水景观带，提升水岸景观轴的特色风光，打造八虎力河沿岸的滨水生态景观带，构筑起带状的沿河绿色开放空间的整体空间风貌，同时将中心城镇的向阳灌渠、湿地公园连成整体，形成绿、水、城相融一体的景观风貌。</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3．“两轴”指以苗圃路为空间通廊，贯穿城中组团、新区和产业组团，打造一条生态、连贯的生态景观轴线；以新兴路为景观轴线载体，形成一条体现城市现代商业景观风貌的商业景观轴线。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4．“五区”指城中景观风貌区，新区居住生活景观风貌区，北部现代工业景观风貌区，铁东现代工业景观风貌区，老街里景观风貌区。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5.“多点”指利用城市公园和城市开放绿地打造多个绿化景观节点；利用城市级广场、商业中心、体育馆、文化中心，打造多个城市景观节点；在城市重要入口处规划多个交通景观节点，提升城市形象。</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风貌分区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包括城中景观风貌区，新区居住生活景观风貌区，北部现代工业景观风貌区，铁东现代工业景观风貌区，老街里景观风貌区。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1．城中景观风貌区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主要反映桦南中心城镇的发展历程，是重要的商贸中心区，以购物、餐饮、休闲、娱乐为主。规划将保护好城中的宜人尺度和营造现代的城市商业环境相结合，注重街道、城市空间尺度的保护，延续人文生态。</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中内现有建筑质量参差不齐，风格差异较大，针对建筑质量较差的居住区进行统一改造。在整体建筑形式上以现代简欧风格为主，具体形式可以根据周边环境进行调整，在重要景观节点宜采用简欧风格建筑类型，达到展示地方建筑特色目的。</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以清新淡雅的色彩作为基调色，相邻住区间的基调色彩彼此协调。基调色应选用米黄色、灰白等色彩，强调色应选用棕色、深灰和暗黄等与主色调不冲突的色彩，点缀色可选用红色、褐色、蓝色等，屋顶色彩宜采用深色，明度不宜过高。旧城区建筑高度不宜过高，以多层为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2．新区居住生活景观风貌区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集中展示现代社区建设风貌，居住建筑宜采用坡顶，形式活泼，分组分团，个性鲜明。力求打造一个生态的、全新的景观区域。应着力营造一种花园城市的意象，使城市融于自然之中，不可以全面西化和国际化，而应尽可能具有自然的、地方的、乡土的特色。</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商业建筑可采用传统坡屋顶或平坡结合的形式，注重现代建筑与城中建筑风格的和谐，形成风格统一的商业建筑界面，延续城中商业风貌。建议将平坡屋顶做绿化处理，可以采用地毯式，花园式的屋顶绿化形式。新城区的商业中心，建筑形式可丰富多样，鼓励创新；建筑形式应符合商贸物流功能要求，具备体现高效，现代的特点。文化、娱乐等公共建筑形式可丰富多样，鼓励创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整体的建筑色彩应尽可能的营造热闹、繁荣、具有活力的城市氛围，进而建构一个明亮、丰富、舒适、富有魅力的商业空间。基调色应选用浅黄色、暖灰色，强调色应选用红色和暗黄色，点缀色可选用正红色、橙色等，不得使用混沌，灰暗的低明度色彩。依据新城区的现代特色，可以高层建筑与多层建筑结合特点，标志性建筑高度控制在100m以内。</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3．北部现代工业景观风貌区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区内环境应在消除污染的基础上，反映现代工业新面貌。各厂区的办公建筑形式应以富有时代感的现代风格为主，通过整齐的布置方式体现城市秩序。在重点地段的工业建筑应以体现科技性和景观性为主，并通过对局部工业建筑造型塑造和对厂区进行园林化处理，达到体现新型工业现代性与生态性的目的。该风貌区内的工业建筑根据其自身特点，可以采用玻璃幕墙与金属板作为基础材质，局部采用其他材料混合搭配。</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4．铁东居住生活景观风貌区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铁东居住区采取现代简约的建筑风格，建筑色彩应尽可能的营造热闹、繁荣、具有活力的城市氛围，基调色应选用浅黄色、暖灰色，强调色应选用红色和暗黄色，点缀色可选用正红色、橙色等，不得使用混沌，灰暗的低明度色彩。</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5．老街里景观风貌区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老街里是桦南县未来发展的重要板块，是桦南县休闲旅游业发展的重要实验区。规划建筑以欧式风格为主，打造满足旅游商业服务的特色休闲风貌区。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整体建筑色彩要做到和谐自然，新与旧的统一，新的突破，旧的完善。整体色调清新淡雅。筑高度不宜过高，在商业区等重要地段可设置标志性建筑，高度控制在80m以内。</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 xml:space="preserve">城市街道空间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城市街道空间是城市轴线、活动路径、视线走廊的主要载体，性质明确的街道空间构成了城市空间的基本骨架。根据交通特征，城市的街道空间可以分为三种类型：人行主导、车行主导、人车都是主导的线性街道空间。每一种街道空间对应不同的景观界面，在规划中，主要是将重要街道空间进行分类规划。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1．人行主导街道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人行主导街道就是强调步行优先，根据步行出行目的的不同，把步行优先的空间进一步分类为商业购物街，景观休闲街。</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商业购物街：规划中心城镇内三处商业街，分别为新兴路、前进路和学府路。目前新兴路和前进路都没有形成规模，但已经形成一定的商业氛围。规划根据现状条件和未来的发展潜力，进一步增加了学府路商业购物街。</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景观休闲街：中心城镇内步行优先的景观休闲街道位于丰胜路，紧邻向阳灌渠，西部是向阳公园，空气质量良好，视线通透，两侧绿化种植良好，车行交通少，是居民进行日常户外活动、放松心情的场所。</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2．车行主导的街道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交通性干路要求两侧建筑有较多的建筑红线退后距离，两侧有较多的绿化，也并不要求街面连续。车行主导的街道承担着城市大量的客运和货运交通。车行景观道路要求街道较为开敞，要求考虑街道空间界面的顶部和建筑中部立面，顶部避免奇特的造型，中部界面与相邻建筑保持协调。要充分考虑功能性和信息性家具设施。地面以连续绿化为主，多植乔木和灌木。</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3．人车主导的街道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 xml:space="preserve">人车主导的街道是城市发展所需要的联系各个组团的景观轴线，它是人流、车流主要的汇集街道，是市民的主要活动路径。人车主导就是既要考虑人步行时的视线，又要考虑车行的视线。因此，主要的人车主导的街道两侧建设强度也较高，是商业、办公、旅游出入频繁的街道。 </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人车主导景观道路需要考虑城市立面的所有的三段界面，建筑顶部、建筑中部和基座的规划与设计。街道家具要综合考虑所有的四类街道家具类型：功能性家具、信息性家具、休憩性家具和观赏性家具。绿化分隔带设计参考车行主导景观道路的设计原则，休憩性绿化带和建筑后退绿化带参考人行主导景观道路的设计原则。</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城市天际线和高度分区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1．城市天际线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城市天际线是人们处在城市边沿地带或城市中的开敞空间时对城市竖向空间轮廓的印象，是城市竖向空间高低关系的表现，由城市所在地域的自然轮廓线和建筑群体的轮廓线共同构成。</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结合城市现状及城市用地功能布局，划分城市高度分区，保护视觉通廊的畅通。在城市公众主要观景点、线（如广场、滨河道）和景点（如标志性建筑等）不被遮挡的条件下形成优美的、充满韵律感的，而不是单调的或混乱的城市轮廓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2．高度分区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规划控制中把整个城市按照高度分成5个控制区，分别为：开敞空间区域、低层区域、多层区域、中高层区域、高层区域：</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开敞空间区域由城市广场、水域、城市绿化系统构成，该区域以自然地形保持为主，严格控制建筑物建设，一般为有机的自然面貌，在城市内部多为开阔平缓的轮廓；</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低层区域指1层～3层的建筑物，高度控制在12m以下，该区域主要集中在沿河的高级低密度住宅区；城市“蓝道”—河流两侧以及城市“绿道”—带形绿化两侧一定距离内的低层建筑控高区。</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多层区域指4层～6层的建筑物，高度控制在24m以下，该区域是城市建筑量较大的区域，是城市轮廓线的构成主体；包括普通居住区、文化娱乐区、科研文教区以及行政区等等。</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中高层区域指7层～12层的建筑物，高度控制在36m以下，该区域主要集中在城市较为重要的商业区、商务办公楼群和小高层住宅。</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高层区域高度控制在36m以上，该区域主要集中在城市的核心区，如桦南城中景观风貌区，新区居住生活景观风貌区等以及重要的景观大道沿线。结合新区的核心开敞空间，塑造城市标志形象。高层区域周边，应该规划较大的开放空间、广场绿地等，以提供便于人们欣赏建筑景观的必要距离和逗留场所。</w:t>
      </w:r>
    </w:p>
    <w:bookmarkEnd w:id="117"/>
    <w:bookmarkEnd w:id="118"/>
    <w:bookmarkEnd w:id="119"/>
    <w:bookmarkEnd w:id="120"/>
    <w:bookmarkEnd w:id="121"/>
    <w:bookmarkEnd w:id="122"/>
    <w:bookmarkEnd w:id="123"/>
    <w:bookmarkEnd w:id="124"/>
    <w:bookmarkEnd w:id="125"/>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bookmarkStart w:id="126" w:name="_Toc513467381"/>
      <w:r>
        <w:rPr>
          <w:rFonts w:hint="eastAsia" w:ascii="仿宋_GB2312" w:hAnsi="仿宋_GB2312" w:eastAsia="仿宋_GB2312" w:cs="仿宋_GB2312"/>
          <w:b/>
          <w:bCs/>
          <w:sz w:val="28"/>
          <w:highlight w:val="none"/>
          <w:u w:val="none"/>
          <w:lang w:val="en-US" w:eastAsia="zh-CN"/>
        </w:rPr>
        <w:t>岸线利用</w:t>
      </w:r>
      <w:bookmarkEnd w:id="126"/>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（一）岸线分类</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水系岸线按功能分类可分为生态性岸线、生产性岸线和生活性岸线。生态性岸线是为保护城市生态环境而保留的自然岸线，生产性岸线属于专用岸线，生活性岸线为城市公共活动岸线。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1．生态性岸线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生态性岸线应严格保护，并有与其它生态区直接联系的生态通廊，生态通廊的总宽度不宜小于100m，且宜达到生态性岸线总长度的10%以上。</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2．生活性岸线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生活性岸线布局应充分体现岸线的公共性、亲水性、景观性和可游赏性。并应符合以下规定：</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生活性岸线的布局应与相邻的城市建设区保持整体的空间关系，应确保与其之间的空间延续性和交通可达性，一般应建设滨水道路使人群易于接近水体。同时，还应按间距500m左右控制垂直通往岸线的交通通道和视线通廊。</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对水位变化较大的水体，必要时应进行岸线的竖向设计，在充分研究水文地质资料的基础上，结合防洪、防潮等工程要求，确定沿岸的阶地控制标高，形成梯级亲水平台。</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岸线布局应布置滨水的、连续的步行系统和集中活动场地，并有利于突出滨水空间特色和塑造城市形象。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3．生产性岸线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生产性岸线应提高使用效率，尽量缩短生产性岸线的长度；在满足生产需要的前提下，应充分考虑相关工程设施的观赏性，尽可能采用多样化的形式，形成具有特色的景观效果。</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根据桦南县中心城镇的实际情况，将岸线根据其功能归纳为生活性岸线、生产性岸线和生态性岸线三大类。其中生活性岸线包括城市公园岸线、旅游岸线；生产性岸线包括自然岸线、工业生产岸线及未利用岸线等；生态性岸线为滨河岸线。</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（二）岸线开发利用规划</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结合城市用地布局，规划桦西湖、向阳灌渠以生活性岸线为主，八虎力河以生态性岸线为主，镇北排水渠、铁东排水渠以生产性岸线为主。</w:t>
      </w:r>
    </w:p>
    <w:p>
      <w:pPr>
        <w:keepNext/>
        <w:keepLines/>
        <w:widowControl w:val="0"/>
        <w:bidi w:val="0"/>
        <w:spacing w:before="260" w:beforeAutospacing="0" w:after="260" w:afterAutospacing="0" w:line="416" w:lineRule="auto"/>
        <w:ind w:firstLine="0" w:firstLineChars="0"/>
        <w:jc w:val="center"/>
        <w:outlineLvl w:val="1"/>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pPr>
      <w:bookmarkStart w:id="127" w:name="_Toc1300"/>
      <w:bookmarkStart w:id="128" w:name="_Toc67939175"/>
      <w:r>
        <w:rPr>
          <w:rFonts w:hint="eastAsia" w:ascii="黑体" w:hAnsi="黑体" w:eastAsia="黑体" w:cs="Times New Roman"/>
          <w:b/>
          <w:bCs/>
          <w:color w:val="000000" w:themeColor="text1"/>
          <w:kern w:val="2"/>
          <w:sz w:val="32"/>
          <w:szCs w:val="32"/>
          <w:highlight w:val="none"/>
          <w:u w:val="none"/>
          <w:lang w:val="en-US" w:eastAsia="zh-CN" w:bidi="ar-SA"/>
          <w14:textFill>
            <w14:solidFill>
              <w14:schemeClr w14:val="tx1"/>
            </w14:solidFill>
          </w14:textFill>
        </w:rPr>
        <w:t>第十四节 详细单元划分</w:t>
      </w:r>
      <w:bookmarkEnd w:id="127"/>
      <w:bookmarkEnd w:id="128"/>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详细单元划分原则</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依据空间结构、规划分区、城市骨架路网、铁路及河流岸线等自然界线，结合规划用地布局和原控规单元划分，考虑功能完整性、边界稳定性和规模适宜度，合理划定中心城镇详细规划编制单元。划分编制单元应覆盖中心城镇全部地域范围，相邻编制单元之间范围不得重叠和留有空隙。</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402" w:firstLineChars="0"/>
        <w:textAlignment w:val="auto"/>
        <w:outlineLvl w:val="2"/>
        <w:rPr>
          <w:rFonts w:hint="eastAsia" w:ascii="仿宋_GB2312" w:hAnsi="仿宋_GB2312" w:eastAsia="仿宋_GB2312" w:cs="仿宋_GB2312"/>
          <w:b/>
          <w:bCs/>
          <w:sz w:val="28"/>
          <w:highlight w:val="none"/>
          <w:u w:val="none"/>
          <w:lang w:val="en-US" w:eastAsia="zh-CN"/>
        </w:rPr>
      </w:pPr>
      <w:r>
        <w:rPr>
          <w:rFonts w:hint="eastAsia" w:ascii="仿宋_GB2312" w:hAnsi="仿宋_GB2312" w:eastAsia="仿宋_GB2312" w:cs="仿宋_GB2312"/>
          <w:b/>
          <w:bCs/>
          <w:sz w:val="28"/>
          <w:highlight w:val="none"/>
          <w:u w:val="none"/>
          <w:lang w:val="en-US" w:eastAsia="zh-CN"/>
        </w:rPr>
        <w:t>详细单元划分规模</w:t>
      </w:r>
    </w:p>
    <w:p>
      <w:pPr>
        <w:widowControl w:val="0"/>
        <w:spacing w:line="240" w:lineRule="auto"/>
        <w:ind w:firstLine="560" w:firstLineChars="200"/>
        <w:jc w:val="both"/>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编制单元一般控制在 1－5 平方公里左右，旧城区、城市中心区控规编制单元控制在 1 平方公里左右，城市新区可适当划 大；以居住混合用地为主要用地功能的控规编制单元规模为 1－2 平方公里 左右；以风景区、工业区为主要功能的控规编制单元规模一般为 2 平方公里以上；城市特色风貌区、历史文化街区等特殊地区的编制单元划分，应保持边界和功能完整性，结合实际确定编制单元规模，以利于保护和塑造城市特色。</w:t>
      </w:r>
    </w:p>
    <w:p>
      <w:pPr>
        <w:pStyle w:val="3"/>
        <w:bidi w:val="0"/>
        <w:rPr>
          <w:rFonts w:hint="eastAsia"/>
          <w:highlight w:val="none"/>
          <w:lang w:eastAsia="zh-CN"/>
        </w:rPr>
      </w:pPr>
      <w:bookmarkStart w:id="129" w:name="_Toc67939176"/>
      <w:bookmarkStart w:id="130" w:name="_Toc19700"/>
      <w:r>
        <w:rPr>
          <w:rFonts w:hint="eastAsia"/>
          <w:highlight w:val="none"/>
        </w:rPr>
        <w:t>第十章 规划</w:t>
      </w:r>
      <w:bookmarkEnd w:id="129"/>
      <w:r>
        <w:rPr>
          <w:rFonts w:hint="eastAsia"/>
          <w:highlight w:val="none"/>
        </w:rPr>
        <w:t>实施保障措施</w:t>
      </w:r>
      <w:bookmarkEnd w:id="130"/>
    </w:p>
    <w:p>
      <w:pPr>
        <w:pStyle w:val="4"/>
        <w:bidi w:val="0"/>
        <w:rPr>
          <w:rFonts w:hint="eastAsia" w:cs="Times New Roman"/>
          <w:highlight w:val="none"/>
          <w:lang w:val="en-US" w:eastAsia="zh-CN"/>
        </w:rPr>
      </w:pPr>
      <w:bookmarkStart w:id="131" w:name="_Toc26048"/>
      <w:r>
        <w:rPr>
          <w:rFonts w:hint="eastAsia" w:cs="Times New Roman"/>
          <w:highlight w:val="none"/>
          <w:lang w:val="en-US" w:eastAsia="zh-CN"/>
        </w:rPr>
        <w:t>第一节 规划管控体系</w:t>
      </w:r>
      <w:bookmarkEnd w:id="131"/>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建立“县域-乡镇”二级规划管控体系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县域层面落实县级指标分解，进一步细化规划分区及指引土地用途分类，规划管理乡镇并提出指引要求。乡镇层面落实上层次规划的乡镇控制指引，根据实际需要细化用途分类及制定乡镇内部地块开发建设的具体规划细则。</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完善规划技术指引与标准</w:t>
      </w:r>
    </w:p>
    <w:p>
      <w:pPr>
        <w:bidi w:val="0"/>
        <w:rPr>
          <w:rFonts w:hint="eastAsia" w:ascii="黑体" w:cs="黑体"/>
          <w:color w:val="000000" w:themeColor="text1"/>
          <w:highlight w:val="yellow"/>
          <w14:textFill>
            <w14:solidFill>
              <w14:schemeClr w14:val="tx1"/>
            </w14:solidFill>
          </w14:textFill>
        </w:rPr>
      </w:pPr>
      <w:r>
        <w:rPr>
          <w:rFonts w:hint="eastAsia" w:ascii="仿宋_GB2312" w:hAnsi="仿宋_GB2312" w:eastAsia="仿宋_GB2312" w:cs="仿宋_GB2312"/>
          <w:highlight w:val="none"/>
          <w:lang w:val="en-US" w:eastAsia="zh-CN"/>
        </w:rPr>
        <w:t>适时开展片区规划指引、乡镇规划指引、城镇特色风貌控制等相关技术指引与标准的研究制定，加快建立贯穿规划编制、实施、管理全过程的城市设计体系，制定城市设计管理法规，及时修订相关技术规范。推动各级各部门技术规范在理念及标准等方面相互衔接。</w:t>
      </w:r>
    </w:p>
    <w:p>
      <w:pPr>
        <w:pStyle w:val="4"/>
        <w:bidi w:val="0"/>
        <w:rPr>
          <w:rFonts w:hint="eastAsia" w:cs="Times New Roman"/>
          <w:highlight w:val="none"/>
          <w:lang w:val="en-US" w:eastAsia="zh-CN"/>
        </w:rPr>
      </w:pPr>
      <w:bookmarkStart w:id="132" w:name="_Toc11204"/>
      <w:r>
        <w:rPr>
          <w:rFonts w:hint="eastAsia" w:cs="Times New Roman"/>
          <w:highlight w:val="none"/>
          <w:lang w:val="en-US" w:eastAsia="zh-CN"/>
        </w:rPr>
        <w:t>第二节 规划监测评估</w:t>
      </w:r>
      <w:bookmarkEnd w:id="132"/>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建立规划动态监测评估体系</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结合桦南县实际，构建国土空间开发保护指标体系，确定各类管控边界、约束性指标的阈值和预警等级。由县委县政府统筹，将各个指标体系的事权管控落实至具体部门，由各部门、各乡镇反馈相关现状数据，通过横向部门、纵向乡镇联动，建立多部门、多层级的全局动态监测评估体系。</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建立规划体检评估制度</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建立“一年一体检，五年一评估”的城镇定期综合评估制度。充分考虑 桦南县发展特征、目标定位和现状问题，结合建设目标和县委县政府重点工作计划，构建城镇体检指标体系。成立城镇体检工作领导小组，整合多平台数据，强化工作统筹力度，联动多部门协同推进城镇体检工作，并结合社会满意度调查，全面分析城镇人居环境情况。</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完善规划动态调整机制</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结合国土空间规划动态监测评估和城市体检结果，定期对国土空间总体规划的指标体系进行合理修正。根据重大项目计划安排或重点平台的管理边界调整需求，可在保障总量不突破的情况下，对生态保护红线、城镇开发边界等底线要素的位置进行局部优化调整，定期组织报政府审批。建立战略留白用地管理机制，当规划以外的重大项目及重大事件具有迫切用地需求时，经批准，可启动留白地块的规划编制。</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建设国土空间规划“一张图”信息平台</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立“一张图”数据平台工作机制，以第三次全国国土调查成果为基础，将综合国土空间基础数据、规划成果、管控边界、审批信息等动态更新入库。搭建规划实施监督信息系统，实现国土空间规划动态监测评估预警。</w:t>
      </w:r>
    </w:p>
    <w:p>
      <w:pPr>
        <w:pStyle w:val="4"/>
        <w:bidi w:val="0"/>
        <w:rPr>
          <w:rFonts w:hint="eastAsia" w:cs="Times New Roman"/>
          <w:highlight w:val="none"/>
          <w:lang w:val="en-US" w:eastAsia="zh-CN"/>
        </w:rPr>
      </w:pPr>
      <w:bookmarkStart w:id="133" w:name="_Toc17259"/>
      <w:r>
        <w:rPr>
          <w:rFonts w:hint="eastAsia" w:cs="Times New Roman"/>
          <w:highlight w:val="none"/>
          <w:lang w:val="en-US" w:eastAsia="zh-CN"/>
        </w:rPr>
        <w:t>第三节 规划政策保障</w:t>
      </w:r>
      <w:bookmarkEnd w:id="133"/>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建立分区分类政策配套体系</w:t>
      </w:r>
    </w:p>
    <w:p>
      <w:pPr>
        <w:rPr>
          <w:rFonts w:hint="eastAsia" w:ascii="黑体" w:cs="黑体"/>
          <w:color w:val="000000" w:themeColor="text1"/>
          <w:highlight w:val="yellow"/>
          <w14:textFill>
            <w14:solidFill>
              <w14:schemeClr w14:val="tx1"/>
            </w14:solidFill>
          </w14:textFill>
        </w:rPr>
      </w:pPr>
      <w:r>
        <w:rPr>
          <w:rFonts w:hint="eastAsia" w:ascii="仿宋_GB2312" w:hAnsi="仿宋_GB2312" w:eastAsia="仿宋_GB2312" w:cs="仿宋_GB2312"/>
          <w:highlight w:val="none"/>
          <w:lang w:val="en-US" w:eastAsia="zh-CN"/>
        </w:rPr>
        <w:t>从土地、财政、人才保障等方面，建立配套政策支撑。完善城镇人口调控、土地供给和财税等配套政策，探索新型产业用地供地机制等用地政策，建立促进高质量发展的激励引导机制。探索乡村点状供地模式，盘活农村存量建设用地，推动乡镇与企业合作开发模式创新，制定多元安置路径和宅基地自愿有偿退出机制。</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实行重点项目分类用地保障</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列入规划重点建设项目清单的重大项目，由县统筹安排一定比例城乡建设用地规模，并重点支持公共服务设施项目。加强全县空间资源统筹，推动空间资源向重大项目集聚。完善重大项目推进机制，建立重大项目多部门定期会商制度，协调解决重大项目落地建设涉及自然资源领域的问题，推动重大项目快速落地。探索重大项目提前介入制度，指导建设单位做好前期论证工作。开辟重大项目用地预审、报批等全过程审批绿色通道，推进项目快批快审、批后快征、征后快供、供后快用和及时确权登记。</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推动重点领域改革创新</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制定实施差异化、精细化的分类政策与保障机制，并制定与各主体功能区定位相匹配的差异化绩效考核评价体系。针对桦南县用地管理的突出问题，创新完善增减挂钩、增存挂钩、人地挂钩等政策工具，完善规划实施措施和保障机制。统筹县内建设用地增减挂钩、集体建设用地腾退和指标调配，优化新增建设用地指标分配制度，将建设用地指标向重点平台归集。推进各乡镇加大已批未建地处置力度，制定奖励和核减标准，推进已批未建地增存挂钩。</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创新重点地区政策支撑</w:t>
      </w:r>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于重点发展地区，结合人口、就业岗位、产业、重大功能性项目的导入机制，制定针对性的用地、交通、市政、公共服务配套等方面有助于项目落地的政策支持。对于重点地区的启动区及核心区加强城市设计研究， 明确开发管控要求，有效指导开发建设，形成标准与质量示范效应，保障重点地区发展战略意图的实现。对于重点地区的战略预留区，建立由县政府统一管理的详细规划启动机制。</w:t>
      </w:r>
    </w:p>
    <w:p>
      <w:pPr>
        <w:keepNext w:val="0"/>
        <w:keepLines w:val="0"/>
        <w:pageBreakBefore w:val="0"/>
        <w:widowControl w:val="0"/>
        <w:numPr>
          <w:ilvl w:val="2"/>
          <w:numId w:val="1"/>
        </w:numPr>
        <w:tabs>
          <w:tab w:val="left" w:pos="2800"/>
        </w:tabs>
        <w:kinsoku/>
        <w:wordWrap/>
        <w:overflowPunct w:val="0"/>
        <w:topLinePunct w:val="0"/>
        <w:autoSpaceDE/>
        <w:autoSpaceDN/>
        <w:bidi w:val="0"/>
        <w:adjustRightInd/>
        <w:snapToGrid/>
        <w:ind w:left="0" w:leftChars="0" w:firstLine="0" w:firstLineChars="0"/>
        <w:textAlignment w:val="auto"/>
        <w:outlineLvl w:val="2"/>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第五条 完善城市更新政策体系</w:t>
      </w:r>
    </w:p>
    <w:p>
      <w:pPr>
        <w:bidi w:val="0"/>
        <w:ind w:firstLine="560" w:firstLineChars="200"/>
        <w:rPr>
          <w:rFonts w:hint="eastAsia" w:ascii="仿宋_GB2312" w:hAnsi="仿宋_GB2312" w:eastAsia="仿宋_GB2312" w:cs="仿宋_GB2312"/>
          <w:sz w:val="28"/>
          <w:szCs w:val="22"/>
          <w:highlight w:val="none"/>
          <w:lang w:val="en-US" w:eastAsia="zh-CN"/>
        </w:rPr>
        <w:sectPr>
          <w:footerReference r:id="rId8"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28"/>
          <w:szCs w:val="22"/>
          <w:highlight w:val="none"/>
          <w:lang w:val="en-US" w:eastAsia="zh-CN"/>
        </w:rPr>
        <w:t>加快构建“政府统筹、规划管控、产业优先、完善配套、利益共享、全程覆盖”城市更新政策体系，系统改革完善计划准入、产权确认、规划管理、市场运作、拆迁补偿、实施监管、财政税收、产业扶持、行政审批、考评奖励等方面的政策规则和流程机制，加快制定实际操作层面的指引、规定和办法等。</w:t>
      </w:r>
      <w:bookmarkEnd w:id="29"/>
      <w:bookmarkEnd w:id="30"/>
    </w:p>
    <w:p>
      <w:pPr>
        <w:keepNext/>
        <w:pageBreakBefore w:val="0"/>
        <w:widowControl/>
        <w:kinsoku/>
        <w:wordWrap/>
        <w:overflowPunct/>
        <w:topLinePunct w:val="0"/>
        <w:bidi w:val="0"/>
        <w:snapToGrid/>
        <w:spacing w:line="240" w:lineRule="auto"/>
        <w:ind w:firstLine="0" w:firstLineChars="0"/>
        <w:jc w:val="both"/>
        <w:outlineLvl w:val="9"/>
        <w:rPr>
          <w:rFonts w:hint="eastAsia" w:ascii="黑体" w:hAnsi="黑体" w:eastAsia="黑体" w:cs="Times New Roman"/>
          <w:b/>
          <w:kern w:val="2"/>
          <w:sz w:val="32"/>
          <w:szCs w:val="20"/>
          <w:lang w:val="en-US" w:eastAsia="zh-CN" w:bidi="ar-SA"/>
        </w:rPr>
      </w:pPr>
      <w:bookmarkStart w:id="134" w:name="_Toc73641171"/>
      <w:r>
        <w:rPr>
          <w:rFonts w:hint="eastAsia" w:ascii="黑体" w:hAnsi="黑体" w:eastAsia="黑体" w:cs="Times New Roman"/>
          <w:b w:val="0"/>
          <w:bCs/>
          <w:kern w:val="2"/>
          <w:sz w:val="32"/>
          <w:szCs w:val="20"/>
          <w:lang w:val="en-US" w:eastAsia="zh-CN" w:bidi="ar-SA"/>
        </w:rPr>
        <w:t>附录</w:t>
      </w:r>
      <w:r>
        <w:rPr>
          <w:rFonts w:hint="default" w:ascii="黑体" w:hAnsi="黑体" w:eastAsia="黑体" w:cs="Times New Roman"/>
          <w:b w:val="0"/>
          <w:bCs/>
          <w:kern w:val="2"/>
          <w:sz w:val="32"/>
          <w:szCs w:val="20"/>
          <w:lang w:val="en-US" w:eastAsia="zh-CN" w:bidi="ar-SA"/>
        </w:rPr>
        <w:t>4</w:t>
      </w:r>
      <w:r>
        <w:rPr>
          <w:rFonts w:hint="eastAsia" w:ascii="黑体" w:hAnsi="黑体" w:eastAsia="黑体" w:cs="Times New Roman"/>
          <w:b w:val="0"/>
          <w:bCs/>
          <w:kern w:val="2"/>
          <w:sz w:val="32"/>
          <w:szCs w:val="20"/>
          <w:lang w:val="en-US" w:eastAsia="zh-CN" w:bidi="ar-SA"/>
        </w:rPr>
        <w:t xml:space="preserve"> 规划文本附表</w:t>
      </w:r>
      <w:bookmarkEnd w:id="134"/>
      <w:bookmarkStart w:id="135" w:name="_Toc71359857"/>
      <w:bookmarkStart w:id="136" w:name="_Toc69487180"/>
      <w:bookmarkStart w:id="137" w:name="_Toc73641172"/>
      <w:bookmarkStart w:id="138" w:name="_Toc73634223"/>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Times New Roman" w:hAnsi="Times New Roman" w:eastAsia="楷体_GB2312" w:cs="Times New Roman"/>
          <w:b/>
          <w:bCs/>
          <w:kern w:val="2"/>
          <w:sz w:val="32"/>
          <w:szCs w:val="32"/>
          <w:lang w:val="en-US" w:eastAsia="zh-CN" w:bidi="ar-SA"/>
        </w:rPr>
      </w:pPr>
      <w:r>
        <w:rPr>
          <w:rFonts w:hint="eastAsia" w:ascii="仿宋_GB2312" w:hAnsi="仿宋_GB2312" w:eastAsia="仿宋_GB2312" w:cs="仿宋_GB2312"/>
          <w:b w:val="0"/>
          <w:bCs w:val="0"/>
          <w:kern w:val="2"/>
          <w:sz w:val="28"/>
          <w:szCs w:val="28"/>
          <w:lang w:val="en-US" w:eastAsia="zh-CN" w:bidi="ar-SA"/>
        </w:rPr>
        <w:t>表1规划指标表</w:t>
      </w:r>
      <w:bookmarkEnd w:id="135"/>
      <w:bookmarkEnd w:id="136"/>
      <w:bookmarkEnd w:id="137"/>
      <w:bookmarkEnd w:id="138"/>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960"/>
        <w:gridCol w:w="1335"/>
        <w:gridCol w:w="1796"/>
        <w:gridCol w:w="131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指标</w:t>
            </w:r>
          </w:p>
        </w:tc>
        <w:tc>
          <w:tcPr>
            <w:tcW w:w="56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单位</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规划基期年</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规划近期目标年</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规划目标年</w:t>
            </w:r>
          </w:p>
        </w:tc>
        <w:tc>
          <w:tcPr>
            <w:tcW w:w="66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top"/>
          </w:tcPr>
          <w:p>
            <w:pPr>
              <w:pageBreakBefore w:val="0"/>
              <w:kinsoku/>
              <w:wordWrap/>
              <w:overflowPunct/>
              <w:topLinePunct w:val="0"/>
              <w:bidi w:val="0"/>
              <w:snapToGrid/>
              <w:spacing w:line="240" w:lineRule="auto"/>
              <w:ind w:firstLine="0" w:firstLineChars="0"/>
              <w:jc w:val="left"/>
              <w:outlineLvl w:val="9"/>
              <w:rPr>
                <w:rFonts w:hint="default" w:ascii="Times New Roman" w:hAnsi="Times New Roman" w:eastAsia="仿宋_GB2312" w:cs="Times New Roman"/>
                <w:b/>
                <w:bCs/>
                <w:sz w:val="21"/>
                <w:szCs w:val="21"/>
              </w:rPr>
            </w:pPr>
            <w:r>
              <w:rPr>
                <w:rFonts w:hint="eastAsia" w:ascii="仿宋_GB2312" w:hAnsi="等线" w:eastAsia="仿宋_GB2312" w:cs="宋体"/>
                <w:b/>
                <w:bCs/>
                <w:color w:val="000000"/>
                <w:kern w:val="0"/>
                <w:sz w:val="21"/>
                <w:szCs w:val="21"/>
              </w:rPr>
              <w:t>一、空间底线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等线" w:eastAsia="仿宋_GB2312" w:cs="宋体"/>
                <w:color w:val="000000"/>
                <w:kern w:val="0"/>
                <w:sz w:val="21"/>
                <w:szCs w:val="21"/>
              </w:rPr>
              <w:t>生态保护红线面积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仿宋_GB2312" w:cs="Times New Roman"/>
                <w:sz w:val="21"/>
                <w:szCs w:val="21"/>
                <w:lang w:val="en-US" w:eastAsia="zh-CN"/>
              </w:rPr>
              <w:t>65548</w:t>
            </w:r>
          </w:p>
        </w:tc>
        <w:tc>
          <w:tcPr>
            <w:tcW w:w="1054"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仿宋_GB2312" w:cs="Times New Roman"/>
                <w:sz w:val="21"/>
                <w:szCs w:val="21"/>
                <w:lang w:val="en-US" w:eastAsia="zh-CN"/>
              </w:rPr>
              <w:t>65548</w:t>
            </w:r>
          </w:p>
        </w:tc>
        <w:tc>
          <w:tcPr>
            <w:tcW w:w="773"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仿宋_GB2312" w:cs="Times New Roman"/>
                <w:sz w:val="21"/>
                <w:szCs w:val="21"/>
                <w:lang w:val="en-US" w:eastAsia="zh-CN"/>
              </w:rPr>
              <w:t>65548</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等线" w:eastAsia="仿宋_GB2312" w:cs="宋体"/>
                <w:color w:val="000000"/>
                <w:kern w:val="0"/>
                <w:sz w:val="21"/>
                <w:szCs w:val="21"/>
              </w:rPr>
              <w:t>用水总量</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仿宋_GB2312" w:hAnsi="仿宋_GB2312" w:eastAsia="仿宋_GB2312" w:cs="仿宋_GB2312"/>
                <w:color w:val="000000"/>
                <w:kern w:val="0"/>
                <w:sz w:val="21"/>
                <w:szCs w:val="21"/>
              </w:rPr>
              <w:t>（立方米）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487</w:t>
            </w:r>
            <w:r>
              <w:rPr>
                <w:rFonts w:hint="eastAsia" w:ascii="Times New Roman" w:hAnsi="Times New Roman" w:eastAsia="仿宋_GB2312" w:cs="Times New Roman"/>
                <w:sz w:val="21"/>
                <w:szCs w:val="21"/>
                <w:lang w:val="en-US" w:eastAsia="zh-CN"/>
              </w:rPr>
              <w:t>00000</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46900000</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46700000</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永久基本农田</w:t>
            </w:r>
          </w:p>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保护面积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微软雅黑" w:cs="宋体"/>
                <w:color w:val="000000"/>
                <w:kern w:val="0"/>
                <w:sz w:val="21"/>
                <w:szCs w:val="21"/>
                <w:lang w:val="en-US" w:eastAsia="zh-CN"/>
              </w:rPr>
            </w:pPr>
            <w:r>
              <w:rPr>
                <w:rFonts w:hint="eastAsia" w:ascii="Times New Roman" w:hAnsi="Times New Roman" w:eastAsia="仿宋_GB2312" w:cs="Times New Roman"/>
                <w:sz w:val="21"/>
                <w:szCs w:val="21"/>
                <w:lang w:val="zh-CN" w:eastAsia="zh-CN"/>
              </w:rPr>
              <w:t>16920</w:t>
            </w:r>
            <w:r>
              <w:rPr>
                <w:rFonts w:hint="eastAsia" w:ascii="Times New Roman" w:hAnsi="Times New Roman" w:eastAsia="仿宋_GB2312" w:cs="Times New Roman"/>
                <w:sz w:val="21"/>
                <w:szCs w:val="21"/>
                <w:lang w:val="en-US" w:eastAsia="zh-CN"/>
              </w:rPr>
              <w:t>7</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zh-CN" w:eastAsia="zh-CN"/>
              </w:rPr>
              <w:t>16920</w:t>
            </w:r>
            <w:r>
              <w:rPr>
                <w:rFonts w:hint="eastAsia" w:ascii="Times New Roman" w:hAnsi="Times New Roman" w:eastAsia="仿宋_GB2312" w:cs="Times New Roman"/>
                <w:sz w:val="21"/>
                <w:szCs w:val="21"/>
                <w:lang w:val="en-US" w:eastAsia="zh-CN"/>
              </w:rPr>
              <w:t>7</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zh-CN" w:eastAsia="zh-CN"/>
              </w:rPr>
              <w:t>16920</w:t>
            </w:r>
            <w:r>
              <w:rPr>
                <w:rFonts w:hint="eastAsia" w:ascii="Times New Roman" w:hAnsi="Times New Roman" w:eastAsia="仿宋_GB2312" w:cs="Times New Roman"/>
                <w:sz w:val="21"/>
                <w:szCs w:val="21"/>
                <w:lang w:val="en-US" w:eastAsia="zh-CN"/>
              </w:rPr>
              <w:t>7</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耕地保有量</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rPr>
            </w:pPr>
            <w:r>
              <w:rPr>
                <w:rFonts w:hint="eastAsia" w:ascii="Times New Roman" w:hAnsi="Times New Roman" w:eastAsia="仿宋_GB2312" w:cs="Times New Roman"/>
                <w:sz w:val="21"/>
                <w:szCs w:val="21"/>
                <w:lang w:val="en-US" w:eastAsia="zh-CN"/>
              </w:rPr>
              <w:t>241160</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Times New Roman" w:hAnsi="Times New Roman" w:eastAsia="仿宋_GB2312" w:cs="Times New Roman"/>
                <w:sz w:val="21"/>
                <w:szCs w:val="21"/>
                <w:lang w:val="en-US" w:eastAsia="zh-CN"/>
              </w:rPr>
              <w:t>241160</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Times New Roman" w:hAnsi="Times New Roman" w:eastAsia="仿宋_GB2312" w:cs="Times New Roman"/>
                <w:sz w:val="21"/>
                <w:szCs w:val="21"/>
                <w:lang w:val="en-US" w:eastAsia="zh-CN"/>
              </w:rPr>
              <w:t>241160</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仿宋_GB2312" w:hAnsi="等线" w:eastAsia="仿宋_GB2312" w:cs="宋体"/>
                <w:color w:val="000000"/>
                <w:kern w:val="0"/>
                <w:sz w:val="21"/>
                <w:szCs w:val="21"/>
                <w:lang w:val="en-US" w:eastAsia="zh-CN"/>
              </w:rPr>
              <w:t>建设用地总面积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10913</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仿宋_GB2312" w:hAnsi="等线" w:eastAsia="仿宋_GB2312" w:cs="宋体"/>
                <w:color w:val="000000"/>
                <w:kern w:val="0"/>
                <w:sz w:val="21"/>
                <w:szCs w:val="21"/>
                <w:lang w:val="en-US" w:eastAsia="zh-CN"/>
              </w:rPr>
              <w:t>城乡建设用地面积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6936</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仿宋_GB2312" w:hAnsi="等线" w:eastAsia="仿宋_GB2312" w:cs="宋体"/>
                <w:color w:val="000000"/>
                <w:kern w:val="0"/>
                <w:sz w:val="21"/>
                <w:szCs w:val="21"/>
                <w:lang w:val="en-US" w:eastAsia="zh-CN"/>
              </w:rPr>
              <w:t>林地保有量</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167155</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117009</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Times New Roman" w:hAnsi="Times New Roman" w:eastAsia="仿宋_GB2312" w:cs="Times New Roman"/>
                <w:sz w:val="21"/>
                <w:szCs w:val="21"/>
                <w:lang w:val="en-US" w:eastAsia="zh-CN"/>
              </w:rPr>
              <w:t>117009</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仿宋_GB2312" w:hAnsi="等线" w:eastAsia="仿宋_GB2312" w:cs="宋体"/>
                <w:color w:val="000000"/>
                <w:kern w:val="0"/>
                <w:sz w:val="21"/>
                <w:szCs w:val="21"/>
                <w:lang w:val="en-US" w:eastAsia="zh-CN"/>
              </w:rPr>
              <w:t>基本草原面积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等线 Light" w:hAnsi="等线 Light" w:eastAsia="等线 Light" w:cs="等线 Light"/>
                <w:color w:val="000000"/>
                <w:kern w:val="0"/>
                <w:sz w:val="21"/>
                <w:szCs w:val="21"/>
                <w:lang w:val="en-US" w:eastAsia="zh-CN"/>
              </w:rPr>
            </w:pPr>
            <w:r>
              <w:rPr>
                <w:rFonts w:hint="eastAsia" w:ascii="Times New Roman" w:hAnsi="Times New Roman" w:eastAsia="仿宋_GB2312" w:cs="Times New Roman"/>
                <w:sz w:val="21"/>
                <w:szCs w:val="21"/>
                <w:lang w:val="en-US" w:eastAsia="zh-CN"/>
              </w:rPr>
              <w:t>24</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16.8</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Times New Roman" w:hAnsi="Times New Roman" w:eastAsia="仿宋_GB2312" w:cs="Times New Roman"/>
                <w:sz w:val="21"/>
                <w:szCs w:val="21"/>
                <w:lang w:val="en-US" w:eastAsia="zh-CN"/>
              </w:rPr>
              <w:t>16.8</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仿宋_GB2312" w:hAnsi="等线" w:eastAsia="仿宋_GB2312" w:cs="宋体"/>
                <w:color w:val="000000"/>
                <w:kern w:val="0"/>
                <w:sz w:val="21"/>
                <w:szCs w:val="21"/>
                <w:lang w:val="en-US" w:eastAsia="zh-CN"/>
              </w:rPr>
              <w:t>湿地面积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2722</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lang w:val="en-US" w:eastAsia="zh-CN"/>
              </w:rPr>
            </w:pPr>
            <w:r>
              <w:rPr>
                <w:rFonts w:hint="eastAsia" w:ascii="Times New Roman" w:hAnsi="Times New Roman" w:eastAsia="仿宋_GB2312" w:cs="Times New Roman"/>
                <w:sz w:val="21"/>
                <w:szCs w:val="21"/>
                <w:lang w:val="en-US" w:eastAsia="zh-CN"/>
              </w:rPr>
              <w:t>1905</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Times New Roman" w:hAnsi="Times New Roman" w:eastAsia="仿宋_GB2312" w:cs="Times New Roman"/>
                <w:sz w:val="21"/>
                <w:szCs w:val="21"/>
                <w:lang w:val="en-US" w:eastAsia="zh-CN"/>
              </w:rPr>
              <w:t>1905</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top"/>
          </w:tcPr>
          <w:p>
            <w:pPr>
              <w:pageBreakBefore w:val="0"/>
              <w:kinsoku/>
              <w:wordWrap/>
              <w:overflowPunct/>
              <w:topLinePunct w:val="0"/>
              <w:bidi w:val="0"/>
              <w:snapToGrid/>
              <w:spacing w:line="240" w:lineRule="auto"/>
              <w:ind w:firstLine="0" w:firstLineChars="0"/>
              <w:jc w:val="left"/>
              <w:outlineLvl w:val="9"/>
              <w:rPr>
                <w:rFonts w:hint="default" w:ascii="Times New Roman" w:hAnsi="Times New Roman" w:eastAsia="仿宋_GB2312" w:cs="Times New Roman"/>
                <w:b/>
                <w:bCs/>
                <w:sz w:val="21"/>
                <w:szCs w:val="21"/>
              </w:rPr>
            </w:pPr>
            <w:r>
              <w:rPr>
                <w:rFonts w:hint="eastAsia" w:ascii="仿宋_GB2312" w:hAnsi="等线" w:eastAsia="仿宋_GB2312" w:cs="宋体"/>
                <w:b/>
                <w:bCs/>
                <w:color w:val="000000"/>
                <w:kern w:val="0"/>
                <w:sz w:val="21"/>
                <w:szCs w:val="21"/>
              </w:rPr>
              <w:t>二、空间结构与效率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常住人口规模</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常住人口城镇化率</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仿宋_GB2312" w:cs="宋体"/>
                <w:color w:val="000000"/>
                <w:kern w:val="0"/>
                <w:sz w:val="21"/>
                <w:szCs w:val="21"/>
                <w:lang w:val="en-US" w:eastAsia="zh-CN"/>
              </w:rPr>
            </w:pPr>
            <w:r>
              <w:rPr>
                <w:rFonts w:hint="eastAsia" w:ascii="仿宋_GB2312" w:hAnsi="仿宋_GB2312" w:eastAsia="仿宋_GB2312" w:cs="仿宋_GB2312"/>
                <w:color w:val="000000"/>
                <w:kern w:val="0"/>
                <w:sz w:val="21"/>
                <w:szCs w:val="21"/>
              </w:rPr>
              <w:t>（%）</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人均城镇建设用地面积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（平方米）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192</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246</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246</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人均应急避难场所面积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（平方米）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道路网密度</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（米/公顷）</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每万元GDP水耗</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（立方米）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448</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432</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432</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每万元GDP地耗</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（平方米）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101</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w:t>
            </w:r>
          </w:p>
        </w:tc>
        <w:tc>
          <w:tcPr>
            <w:tcW w:w="664"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top"/>
          </w:tcPr>
          <w:p>
            <w:pPr>
              <w:pageBreakBefore w:val="0"/>
              <w:kinsoku/>
              <w:wordWrap/>
              <w:overflowPunct/>
              <w:topLinePunct w:val="0"/>
              <w:bidi w:val="0"/>
              <w:snapToGrid/>
              <w:spacing w:line="240" w:lineRule="auto"/>
              <w:ind w:firstLine="0" w:firstLineChars="0"/>
              <w:jc w:val="left"/>
              <w:outlineLvl w:val="9"/>
              <w:rPr>
                <w:rFonts w:hint="default" w:ascii="Times New Roman" w:hAnsi="Times New Roman" w:eastAsia="仿宋_GB2312" w:cs="Times New Roman"/>
                <w:b/>
                <w:bCs/>
                <w:sz w:val="21"/>
                <w:szCs w:val="21"/>
              </w:rPr>
            </w:pPr>
            <w:r>
              <w:rPr>
                <w:rFonts w:hint="eastAsia" w:ascii="仿宋_GB2312" w:hAnsi="等线" w:eastAsia="仿宋_GB2312" w:cs="宋体"/>
                <w:b/>
                <w:bCs/>
                <w:color w:val="000000"/>
                <w:kern w:val="0"/>
                <w:sz w:val="21"/>
                <w:szCs w:val="21"/>
              </w:rPr>
              <w:t>三、空间品质</w:t>
            </w:r>
            <w:r>
              <w:rPr>
                <w:rFonts w:hint="default" w:ascii="Times New Roman" w:hAnsi="Times New Roman" w:eastAsia="等线" w:cs="Times New Roman"/>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公园绿地、广场步行5分钟覆盖率</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卫生、养老、教育、文化、体育等社区公共服务设施步行15分钟覆盖率</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城镇人均住房面积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（平方米）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每千名老年人养老床位数</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（张）</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每千人口医疗卫生机构床位数</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（张）</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人均公园绿地面积</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（平方米）</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城镇生活垃圾回收利用率</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农村生活垃圾处理率</w:t>
            </w:r>
          </w:p>
        </w:tc>
        <w:tc>
          <w:tcPr>
            <w:tcW w:w="563" w:type="pct"/>
            <w:noWrap w:val="0"/>
            <w:vAlign w:val="top"/>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仿宋_GB2312" w:eastAsia="仿宋_GB2312" w:cs="仿宋_GB2312"/>
                <w:color w:val="000000"/>
                <w:kern w:val="0"/>
                <w:sz w:val="21"/>
                <w:szCs w:val="21"/>
              </w:rPr>
              <w:t>（%）</w:t>
            </w:r>
          </w:p>
        </w:tc>
        <w:tc>
          <w:tcPr>
            <w:tcW w:w="78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1054"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77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p>
        </w:tc>
        <w:tc>
          <w:tcPr>
            <w:tcW w:w="66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_GB2312" w:hAnsi="仿宋_GB2312" w:eastAsia="仿宋_GB2312" w:cs="仿宋_GB2312"/>
                <w:color w:val="000000"/>
                <w:kern w:val="0"/>
                <w:sz w:val="21"/>
                <w:szCs w:val="21"/>
              </w:rPr>
              <w:t>预期性</w:t>
            </w:r>
          </w:p>
        </w:tc>
      </w:tr>
    </w:tbl>
    <w:p>
      <w:pPr>
        <w:pageBreakBefore w:val="0"/>
        <w:kinsoku/>
        <w:wordWrap/>
        <w:overflowPunct/>
        <w:topLinePunct w:val="0"/>
        <w:bidi w:val="0"/>
        <w:snapToGrid/>
        <w:spacing w:line="240" w:lineRule="auto"/>
        <w:ind w:firstLine="0" w:firstLineChars="0"/>
        <w:outlineLvl w:val="9"/>
        <w:rPr>
          <w:rFonts w:hint="default" w:ascii="Times New Roman" w:hAnsi="Times New Roman" w:eastAsia="仿宋_GB2312" w:cs="Times New Roman"/>
          <w:sz w:val="32"/>
          <w:szCs w:val="24"/>
        </w:rPr>
      </w:pPr>
    </w:p>
    <w:p>
      <w:pPr>
        <w:pageBreakBefore w:val="0"/>
        <w:widowControl/>
        <w:kinsoku/>
        <w:wordWrap/>
        <w:overflowPunct/>
        <w:topLinePunct w:val="0"/>
        <w:bidi w:val="0"/>
        <w:snapToGrid/>
        <w:spacing w:line="240" w:lineRule="auto"/>
        <w:ind w:firstLine="0" w:firstLineChars="0"/>
        <w:jc w:val="left"/>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br w:type="page"/>
      </w:r>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bookmarkStart w:id="139" w:name="_Toc73634224"/>
      <w:bookmarkStart w:id="140" w:name="_Toc71359858"/>
      <w:bookmarkStart w:id="141" w:name="_Toc73641173"/>
      <w:bookmarkStart w:id="142" w:name="_Toc69487181"/>
      <w:r>
        <w:rPr>
          <w:rFonts w:hint="eastAsia" w:ascii="仿宋_GB2312" w:hAnsi="仿宋_GB2312" w:eastAsia="仿宋_GB2312" w:cs="仿宋_GB2312"/>
          <w:b w:val="0"/>
          <w:bCs w:val="0"/>
          <w:kern w:val="2"/>
          <w:sz w:val="28"/>
          <w:szCs w:val="28"/>
          <w:lang w:val="en-US" w:eastAsia="zh-CN" w:bidi="ar-SA"/>
        </w:rPr>
        <w:t>表2国土空间功能结构调整表</w:t>
      </w:r>
      <w:bookmarkEnd w:id="139"/>
      <w:bookmarkEnd w:id="140"/>
      <w:bookmarkEnd w:id="141"/>
      <w:bookmarkEnd w:id="142"/>
    </w:p>
    <w:p>
      <w:pPr>
        <w:pageBreakBefore w:val="0"/>
        <w:kinsoku/>
        <w:wordWrap/>
        <w:overflowPunct/>
        <w:topLinePunct w:val="0"/>
        <w:bidi w:val="0"/>
        <w:snapToGrid/>
        <w:spacing w:line="240" w:lineRule="auto"/>
        <w:ind w:right="-50" w:rightChars="-18" w:firstLine="0" w:firstLineChars="0"/>
        <w:jc w:val="right"/>
        <w:outlineLvl w:val="9"/>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单位：公顷、</w:t>
      </w:r>
      <w:r>
        <w:rPr>
          <w:rFonts w:hint="eastAsia" w:ascii="仿宋_GB2312" w:hAnsi="仿宋_GB2312" w:eastAsia="仿宋_GB2312" w:cs="仿宋_GB2312"/>
          <w:sz w:val="24"/>
          <w:szCs w:val="24"/>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40"/>
        <w:gridCol w:w="1109"/>
        <w:gridCol w:w="960"/>
        <w:gridCol w:w="695"/>
        <w:gridCol w:w="107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用地类型</w:t>
            </w:r>
          </w:p>
        </w:tc>
        <w:tc>
          <w:tcPr>
            <w:tcW w:w="1030"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规划基期年</w:t>
            </w:r>
          </w:p>
        </w:tc>
        <w:tc>
          <w:tcPr>
            <w:tcW w:w="1110"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规划目标年</w:t>
            </w:r>
          </w:p>
        </w:tc>
        <w:tc>
          <w:tcPr>
            <w:tcW w:w="860"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规划期间面积增减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color w:val="000000"/>
                <w:kern w:val="0"/>
                <w:sz w:val="21"/>
                <w:szCs w:val="21"/>
              </w:rPr>
            </w:pPr>
          </w:p>
        </w:tc>
        <w:tc>
          <w:tcPr>
            <w:tcW w:w="43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面积</w:t>
            </w:r>
          </w:p>
        </w:tc>
        <w:tc>
          <w:tcPr>
            <w:tcW w:w="60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比重</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面积</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比重</w:t>
            </w:r>
          </w:p>
        </w:tc>
        <w:tc>
          <w:tcPr>
            <w:tcW w:w="8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耕地</w:t>
            </w:r>
          </w:p>
        </w:tc>
        <w:tc>
          <w:tcPr>
            <w:tcW w:w="430"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241498.76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54.64</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园地</w:t>
            </w:r>
          </w:p>
        </w:tc>
        <w:tc>
          <w:tcPr>
            <w:tcW w:w="430"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271.23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0.06</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林地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167219.19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37.83</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牧草地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1824.72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0.41</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湿地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2721.46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0.62</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农业设施建设用地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1691.79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0.38</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9"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城乡建设用地</w:t>
            </w:r>
          </w:p>
        </w:tc>
        <w:tc>
          <w:tcPr>
            <w:tcW w:w="999"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城镇用地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2409.14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0.55</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9"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color w:val="000000"/>
                <w:kern w:val="0"/>
                <w:sz w:val="21"/>
                <w:szCs w:val="21"/>
              </w:rPr>
            </w:pPr>
          </w:p>
        </w:tc>
        <w:tc>
          <w:tcPr>
            <w:tcW w:w="999"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村庄用地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5566.51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1.26</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区域基础设施用地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3389.34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0.77</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其他建设用地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897.17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0.20</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陆地水域</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10559.59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2.39</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8" w:type="pct"/>
            <w:gridSpan w:val="2"/>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color w:val="000000"/>
                <w:kern w:val="0"/>
                <w:sz w:val="21"/>
                <w:szCs w:val="21"/>
              </w:rPr>
            </w:pPr>
            <w:r>
              <w:rPr>
                <w:rFonts w:hint="eastAsia" w:ascii="仿宋_GB2312" w:hAnsi="等线" w:eastAsia="仿宋_GB2312" w:cs="宋体"/>
                <w:color w:val="000000"/>
                <w:kern w:val="0"/>
                <w:sz w:val="21"/>
                <w:szCs w:val="21"/>
              </w:rPr>
              <w:t>其他土地</w:t>
            </w:r>
          </w:p>
        </w:tc>
        <w:tc>
          <w:tcPr>
            <w:tcW w:w="733"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3931.25 </w:t>
            </w:r>
          </w:p>
        </w:tc>
        <w:tc>
          <w:tcPr>
            <w:tcW w:w="10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0.89</w:t>
            </w:r>
          </w:p>
        </w:tc>
        <w:tc>
          <w:tcPr>
            <w:tcW w:w="444"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66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c>
          <w:tcPr>
            <w:tcW w:w="8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w:t>
            </w:r>
          </w:p>
        </w:tc>
      </w:tr>
    </w:tbl>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1"/>
        </w:rPr>
      </w:pPr>
    </w:p>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1"/>
        </w:rPr>
      </w:pPr>
    </w:p>
    <w:p>
      <w:pPr>
        <w:pageBreakBefore w:val="0"/>
        <w:widowControl/>
        <w:kinsoku/>
        <w:wordWrap/>
        <w:overflowPunct/>
        <w:topLinePunct w:val="0"/>
        <w:bidi w:val="0"/>
        <w:snapToGrid/>
        <w:spacing w:line="240" w:lineRule="auto"/>
        <w:ind w:firstLine="0" w:firstLineChars="0"/>
        <w:jc w:val="left"/>
        <w:outlineLvl w:val="9"/>
        <w:rPr>
          <w:szCs w:val="21"/>
        </w:rPr>
        <w:sectPr>
          <w:pgSz w:w="11906" w:h="16838"/>
          <w:pgMar w:top="1440" w:right="1800" w:bottom="1440" w:left="1800" w:header="567" w:footer="106" w:gutter="0"/>
          <w:pgNumType w:start="1"/>
          <w:cols w:space="720" w:num="1"/>
          <w:titlePg/>
          <w:docGrid w:type="lines" w:linePitch="435" w:charSpace="0"/>
        </w:sectPr>
      </w:pPr>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bookmarkStart w:id="143" w:name="_Toc73634225"/>
      <w:bookmarkStart w:id="144" w:name="_Toc73641174"/>
      <w:bookmarkStart w:id="145" w:name="_Toc71359859"/>
      <w:bookmarkStart w:id="146" w:name="_Toc69487182"/>
      <w:r>
        <w:rPr>
          <w:rFonts w:hint="eastAsia" w:ascii="仿宋_GB2312" w:hAnsi="仿宋_GB2312" w:eastAsia="仿宋_GB2312" w:cs="仿宋_GB2312"/>
          <w:b w:val="0"/>
          <w:bCs w:val="0"/>
          <w:kern w:val="2"/>
          <w:sz w:val="28"/>
          <w:szCs w:val="28"/>
          <w:lang w:val="en-US" w:eastAsia="zh-CN" w:bidi="ar-SA"/>
        </w:rPr>
        <w:t>表3规划分区统计表</w:t>
      </w:r>
      <w:bookmarkEnd w:id="143"/>
      <w:bookmarkEnd w:id="144"/>
      <w:bookmarkEnd w:id="145"/>
      <w:bookmarkEnd w:id="146"/>
    </w:p>
    <w:p>
      <w:pPr>
        <w:pageBreakBefore w:val="0"/>
        <w:kinsoku/>
        <w:wordWrap/>
        <w:overflowPunct/>
        <w:topLinePunct w:val="0"/>
        <w:bidi w:val="0"/>
        <w:snapToGrid/>
        <w:spacing w:line="240" w:lineRule="auto"/>
        <w:ind w:firstLine="0" w:firstLineChars="0"/>
        <w:jc w:val="right"/>
        <w:outlineLvl w:val="9"/>
        <w:rPr>
          <w:rFonts w:hint="default" w:ascii="Times New Roman" w:hAnsi="Times New Roman" w:eastAsia="仿宋_GB2312" w:cs="Times New Roman"/>
          <w:kern w:val="0"/>
          <w:sz w:val="24"/>
          <w:szCs w:val="18"/>
        </w:rPr>
      </w:pPr>
      <w:r>
        <w:rPr>
          <w:rFonts w:hint="default" w:ascii="Times New Roman" w:hAnsi="Times New Roman" w:eastAsia="仿宋_GB2312" w:cs="Times New Roman"/>
          <w:kern w:val="0"/>
          <w:sz w:val="24"/>
          <w:szCs w:val="18"/>
        </w:rPr>
        <w:t>单位：公顷</w:t>
      </w:r>
    </w:p>
    <w:tbl>
      <w:tblPr>
        <w:tblStyle w:val="2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5"/>
        <w:gridCol w:w="812"/>
        <w:gridCol w:w="733"/>
        <w:gridCol w:w="813"/>
        <w:gridCol w:w="734"/>
        <w:gridCol w:w="734"/>
        <w:gridCol w:w="495"/>
        <w:gridCol w:w="495"/>
        <w:gridCol w:w="495"/>
        <w:gridCol w:w="574"/>
        <w:gridCol w:w="495"/>
        <w:gridCol w:w="495"/>
        <w:gridCol w:w="654"/>
        <w:gridCol w:w="654"/>
        <w:gridCol w:w="654"/>
        <w:gridCol w:w="813"/>
        <w:gridCol w:w="734"/>
        <w:gridCol w:w="734"/>
        <w:gridCol w:w="813"/>
        <w:gridCol w:w="654"/>
        <w:gridCol w:w="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302" w:type="pct"/>
            <w:vMerge w:val="restart"/>
            <w:noWrap/>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行政区划</w:t>
            </w:r>
          </w:p>
        </w:tc>
        <w:tc>
          <w:tcPr>
            <w:tcW w:w="288"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生态保护区</w:t>
            </w:r>
          </w:p>
        </w:tc>
        <w:tc>
          <w:tcPr>
            <w:tcW w:w="260"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生态控制区</w:t>
            </w:r>
          </w:p>
        </w:tc>
        <w:tc>
          <w:tcPr>
            <w:tcW w:w="288"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农田保护区</w:t>
            </w:r>
          </w:p>
        </w:tc>
        <w:tc>
          <w:tcPr>
            <w:tcW w:w="2297" w:type="pct"/>
            <w:gridSpan w:val="11"/>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城镇发展区</w:t>
            </w:r>
          </w:p>
        </w:tc>
        <w:tc>
          <w:tcPr>
            <w:tcW w:w="1329" w:type="pct"/>
            <w:gridSpan w:val="5"/>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乡村发展区</w:t>
            </w:r>
          </w:p>
        </w:tc>
        <w:tc>
          <w:tcPr>
            <w:tcW w:w="232"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矿产能源发展区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60"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1572" w:type="pct"/>
            <w:gridSpan w:val="8"/>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城镇集中建设区</w:t>
            </w:r>
          </w:p>
        </w:tc>
        <w:tc>
          <w:tcPr>
            <w:tcW w:w="232"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城镇弹性发展区</w:t>
            </w:r>
          </w:p>
        </w:tc>
        <w:tc>
          <w:tcPr>
            <w:tcW w:w="232"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特别用途区</w:t>
            </w:r>
          </w:p>
        </w:tc>
        <w:tc>
          <w:tcPr>
            <w:tcW w:w="288"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260"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村庄建设区</w:t>
            </w:r>
          </w:p>
        </w:tc>
        <w:tc>
          <w:tcPr>
            <w:tcW w:w="260"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一般农业区</w:t>
            </w:r>
          </w:p>
        </w:tc>
        <w:tc>
          <w:tcPr>
            <w:tcW w:w="288"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林业发展区</w:t>
            </w:r>
          </w:p>
        </w:tc>
        <w:tc>
          <w:tcPr>
            <w:tcW w:w="232" w:type="pct"/>
            <w:vMerge w:val="restar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牧业发展区</w:t>
            </w:r>
          </w:p>
        </w:tc>
        <w:tc>
          <w:tcPr>
            <w:tcW w:w="23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宋体" w:hAnsi="宋体" w:eastAsia="宋体" w:cs="宋体"/>
                <w:b/>
                <w:bCs/>
                <w:color w:val="000000"/>
                <w:kern w:val="0"/>
                <w:sz w:val="18"/>
                <w:szCs w:val="18"/>
              </w:rPr>
            </w:pPr>
          </w:p>
        </w:tc>
        <w:tc>
          <w:tcPr>
            <w:tcW w:w="260"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居住生活区</w:t>
            </w:r>
          </w:p>
        </w:tc>
        <w:tc>
          <w:tcPr>
            <w:tcW w:w="17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综合服务区</w:t>
            </w:r>
          </w:p>
        </w:tc>
        <w:tc>
          <w:tcPr>
            <w:tcW w:w="17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商业商务区</w:t>
            </w:r>
          </w:p>
        </w:tc>
        <w:tc>
          <w:tcPr>
            <w:tcW w:w="17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工业发展区</w:t>
            </w:r>
          </w:p>
        </w:tc>
        <w:tc>
          <w:tcPr>
            <w:tcW w:w="203"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物流仓储区</w:t>
            </w:r>
          </w:p>
        </w:tc>
        <w:tc>
          <w:tcPr>
            <w:tcW w:w="17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绿地休闲区</w:t>
            </w:r>
          </w:p>
        </w:tc>
        <w:tc>
          <w:tcPr>
            <w:tcW w:w="175"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交通枢纽区</w:t>
            </w:r>
          </w:p>
        </w:tc>
        <w:tc>
          <w:tcPr>
            <w:tcW w:w="232" w:type="pct"/>
            <w:noWrap w:val="0"/>
            <w:vAlign w:val="center"/>
          </w:tcPr>
          <w:p>
            <w:pPr>
              <w:pageBreakBefore w:val="0"/>
              <w:widowControl/>
              <w:kinsoku/>
              <w:wordWrap/>
              <w:overflowPunct/>
              <w:topLinePunct w:val="0"/>
              <w:bidi w:val="0"/>
              <w:snapToGrid/>
              <w:spacing w:line="240" w:lineRule="auto"/>
              <w:ind w:firstLine="0" w:firstLineChars="0"/>
              <w:jc w:val="center"/>
              <w:outlineLvl w:val="9"/>
              <w:rPr>
                <w:rFonts w:hint="default"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战略预留区</w:t>
            </w:r>
          </w:p>
        </w:tc>
        <w:tc>
          <w:tcPr>
            <w:tcW w:w="23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3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宋体" w:hAnsi="宋体" w:eastAsia="宋体" w:cs="宋体"/>
                <w:b/>
                <w:bCs/>
                <w:color w:val="000000"/>
                <w:kern w:val="0"/>
                <w:sz w:val="18"/>
                <w:szCs w:val="18"/>
              </w:rPr>
            </w:pPr>
          </w:p>
        </w:tc>
        <w:tc>
          <w:tcPr>
            <w:tcW w:w="2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60"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88"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3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c>
          <w:tcPr>
            <w:tcW w:w="232" w:type="pct"/>
            <w:vMerge w:val="continue"/>
            <w:noWrap w:val="0"/>
            <w:vAlign w:val="center"/>
          </w:tcPr>
          <w:p>
            <w:pPr>
              <w:pageBreakBefore w:val="0"/>
              <w:widowControl/>
              <w:kinsoku/>
              <w:wordWrap/>
              <w:overflowPunct/>
              <w:topLinePunct w:val="0"/>
              <w:bidi w:val="0"/>
              <w:snapToGrid/>
              <w:spacing w:line="240" w:lineRule="auto"/>
              <w:ind w:firstLine="0" w:firstLineChars="0"/>
              <w:jc w:val="left"/>
              <w:outlineLvl w:val="9"/>
              <w:rPr>
                <w:rFonts w:hint="default" w:ascii="仿宋_GB2312" w:hAnsi="等线" w:eastAsia="仿宋_GB2312" w:cs="宋体"/>
                <w:b/>
                <w:bCs/>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default"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桦南镇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27.42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17672.53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4508.94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3621.07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521.17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366.70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6660.37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869.94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2925.13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2808.10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57.20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36.14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default"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闫家镇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0.01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14595.52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157.00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58.38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6.41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2.64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12.13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69.56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7.88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10225.85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2117.30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6496.18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1412.82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199.55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29.51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default"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大八浪乡</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146.36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17031.40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13283.92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2203.79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4861.15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6058.81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160.18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73.43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default"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桦南林业局</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50576.47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511.01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0.48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55.07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42.30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12.77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40997.86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659.91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6497.33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33828.60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12.01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61.88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桦南种畜场</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477.47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3.79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2278.32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2577.27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404.19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1610.94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533.85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28.29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9.03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孟家岗镇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4247.74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6583.09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18355.75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620.92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383.89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8.33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2.33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3.75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10.98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1.25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0.13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60.59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85.33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64.35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31644.96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2559.80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6834.58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22005.62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244.96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92.68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明义乡</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439.71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99.01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15892.72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15892.84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2085.78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3657.81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9975.30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173.95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114.21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农垦红兴隆</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10629.56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23.89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23.89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6761.10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1560.19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3122.39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1825.03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253.49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16.99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石头河子镇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21.74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1272.15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7925.73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251.04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135.52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7.26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3.51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7.15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3.04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91.60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2.97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21931.24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1127.77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4215.16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16340.40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247.91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395.62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驼腰子镇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172.14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1.18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6214.27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144.01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97.56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8.35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1.42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3.70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7.62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17.46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7.90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8127.02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771.54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2430.42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4837.03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88.03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34.50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金沙乡</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953.62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12805.26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14782.48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1678.26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3322.15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9574.80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207.27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16.88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left"/>
              <w:textAlignment w:val="center"/>
              <w:outlineLvl w:val="9"/>
              <w:rPr>
                <w:rFonts w:hint="eastAsia" w:ascii="仿宋_GB2312" w:hAnsi="等线" w:eastAsia="仿宋_GB2312" w:cs="宋体"/>
                <w:color w:val="000000"/>
                <w:kern w:val="0"/>
                <w:sz w:val="16"/>
                <w:szCs w:val="16"/>
              </w:rPr>
            </w:pPr>
            <w:r>
              <w:rPr>
                <w:rFonts w:hint="eastAsia" w:ascii="仿宋_GB2312" w:hAnsi="宋体" w:eastAsia="仿宋_GB2312" w:cs="仿宋_GB2312"/>
                <w:i w:val="0"/>
                <w:color w:val="000000"/>
                <w:kern w:val="0"/>
                <w:sz w:val="16"/>
                <w:szCs w:val="16"/>
                <w:u w:val="none"/>
                <w:lang w:val="en-US" w:eastAsia="zh-CN" w:bidi="ar"/>
              </w:rPr>
              <w:t>梨树乡</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16880.80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9194.59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2269.78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6055.89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746.22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122.71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23.14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02"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土龙山镇</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18.33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31704.53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305.67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121.94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8.83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6.82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4.58 </w:t>
            </w:r>
          </w:p>
        </w:tc>
        <w:tc>
          <w:tcPr>
            <w:tcW w:w="203"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20.72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0.48 </w:t>
            </w:r>
          </w:p>
        </w:tc>
        <w:tc>
          <w:tcPr>
            <w:tcW w:w="175"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0.33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102.55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39.41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0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15178.67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4139.03 </w:t>
            </w:r>
          </w:p>
        </w:tc>
        <w:tc>
          <w:tcPr>
            <w:tcW w:w="260"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9185.99 </w:t>
            </w:r>
          </w:p>
        </w:tc>
        <w:tc>
          <w:tcPr>
            <w:tcW w:w="28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1596.74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 xml:space="preserve">256.92 </w:t>
            </w:r>
          </w:p>
        </w:tc>
        <w:tc>
          <w:tcPr>
            <w:tcW w:w="232"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16"/>
                <w:szCs w:val="16"/>
                <w:lang w:val="en-US" w:eastAsia="zh-CN"/>
              </w:rPr>
            </w:pPr>
          </w:p>
        </w:tc>
      </w:tr>
    </w:tbl>
    <w:p>
      <w:pPr>
        <w:pageBreakBefore w:val="0"/>
        <w:kinsoku/>
        <w:wordWrap/>
        <w:overflowPunct/>
        <w:topLinePunct w:val="0"/>
        <w:bidi w:val="0"/>
        <w:snapToGrid/>
        <w:spacing w:line="240" w:lineRule="auto"/>
        <w:ind w:firstLine="0" w:firstLineChars="0"/>
        <w:outlineLvl w:val="9"/>
        <w:sectPr>
          <w:pgSz w:w="16838" w:h="11906" w:orient="landscape"/>
          <w:pgMar w:top="1800" w:right="1440" w:bottom="1800" w:left="1440" w:header="567" w:footer="992" w:gutter="0"/>
          <w:cols w:space="720" w:num="1"/>
          <w:titlePg/>
          <w:docGrid w:type="lines" w:linePitch="435" w:charSpace="0"/>
        </w:sectPr>
      </w:pPr>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bookmarkStart w:id="147" w:name="_Toc71359863"/>
      <w:bookmarkStart w:id="148" w:name="_Toc69487186"/>
      <w:bookmarkStart w:id="149" w:name="_Toc73641178"/>
      <w:bookmarkStart w:id="150" w:name="_Toc73634229"/>
      <w:r>
        <w:rPr>
          <w:rFonts w:hint="eastAsia" w:ascii="仿宋_GB2312" w:hAnsi="仿宋_GB2312" w:eastAsia="仿宋_GB2312" w:cs="仿宋_GB2312"/>
          <w:b w:val="0"/>
          <w:bCs w:val="0"/>
          <w:kern w:val="2"/>
          <w:sz w:val="28"/>
          <w:szCs w:val="28"/>
          <w:lang w:val="en-US" w:eastAsia="zh-CN" w:bidi="ar-SA"/>
        </w:rPr>
        <w:t>表7耕地、永久基本农田规划指标分解表</w:t>
      </w:r>
      <w:bookmarkEnd w:id="147"/>
      <w:bookmarkEnd w:id="148"/>
      <w:bookmarkEnd w:id="149"/>
      <w:bookmarkEnd w:id="150"/>
    </w:p>
    <w:p>
      <w:pPr>
        <w:pageBreakBefore w:val="0"/>
        <w:kinsoku/>
        <w:wordWrap/>
        <w:overflowPunct/>
        <w:topLinePunct w:val="0"/>
        <w:bidi w:val="0"/>
        <w:snapToGrid/>
        <w:spacing w:line="240" w:lineRule="auto"/>
        <w:ind w:firstLine="0" w:firstLineChars="0"/>
        <w:jc w:val="right"/>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24"/>
        <w:gridCol w:w="2325"/>
        <w:gridCol w:w="2325"/>
        <w:gridCol w:w="22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21"/>
                <w:szCs w:val="21"/>
              </w:rPr>
              <w:t>行政区划</w:t>
            </w:r>
          </w:p>
        </w:tc>
        <w:tc>
          <w:tcPr>
            <w:tcW w:w="2324"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规划基期年耕地面积</w:t>
            </w:r>
          </w:p>
        </w:tc>
        <w:tc>
          <w:tcPr>
            <w:tcW w:w="4650" w:type="dxa"/>
            <w:gridSpan w:val="2"/>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4"/>
                <w:szCs w:val="24"/>
                <w:lang w:val="en-US" w:eastAsia="zh-CN" w:bidi="ar-SA"/>
              </w:rPr>
            </w:pPr>
            <w:r>
              <w:rPr>
                <w:rFonts w:hint="default" w:ascii="Times New Roman" w:hAnsi="Times New Roman" w:eastAsia="仿宋_GB2312" w:cs="Times New Roman"/>
                <w:color w:val="000000"/>
                <w:sz w:val="21"/>
                <w:szCs w:val="21"/>
                <w:lang w:val="en-US" w:eastAsia="zh-CN" w:bidi="ar-SA"/>
              </w:rPr>
              <w:t>耕地保有量指标</w:t>
            </w:r>
          </w:p>
        </w:tc>
        <w:tc>
          <w:tcPr>
            <w:tcW w:w="2285" w:type="dxa"/>
            <w:vMerge w:val="restart"/>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1"/>
                <w:szCs w:val="21"/>
                <w:lang w:val="en-US" w:eastAsia="zh-CN" w:bidi="ar-SA"/>
              </w:rPr>
            </w:pPr>
            <w:r>
              <w:rPr>
                <w:rFonts w:hint="default" w:ascii="Times New Roman" w:hAnsi="Times New Roman" w:eastAsia="仿宋_GB2312" w:cs="Times New Roman"/>
                <w:color w:val="000000"/>
                <w:sz w:val="21"/>
                <w:szCs w:val="21"/>
                <w:lang w:val="en-US" w:eastAsia="zh-CN" w:bidi="ar-SA"/>
              </w:rPr>
              <w:t>永久基本农田保护面积</w:t>
            </w:r>
          </w:p>
        </w:tc>
        <w:tc>
          <w:tcPr>
            <w:tcW w:w="2325" w:type="dxa"/>
            <w:vMerge w:val="restart"/>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4"/>
                <w:szCs w:val="24"/>
                <w:lang w:val="en-US" w:eastAsia="zh-CN" w:bidi="ar-SA"/>
              </w:rPr>
            </w:pPr>
            <w:r>
              <w:rPr>
                <w:rFonts w:hint="default" w:ascii="Times New Roman" w:hAnsi="Times New Roman" w:eastAsia="仿宋_GB2312" w:cs="Times New Roman"/>
                <w:color w:val="000000"/>
                <w:sz w:val="21"/>
                <w:szCs w:val="21"/>
                <w:lang w:val="en-US" w:eastAsia="zh-CN" w:bidi="ar-SA"/>
              </w:rPr>
              <w:t>永久基本农田</w:t>
            </w:r>
            <w:r>
              <w:rPr>
                <w:rFonts w:hint="eastAsia" w:ascii="Times New Roman" w:hAnsi="Times New Roman" w:eastAsia="仿宋_GB2312" w:cs="Times New Roman"/>
                <w:color w:val="000000"/>
                <w:sz w:val="21"/>
                <w:szCs w:val="21"/>
                <w:lang w:val="en-US" w:eastAsia="zh-CN" w:bidi="ar-SA"/>
              </w:rPr>
              <w:t>储备区面积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324"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近期目标年</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规划目标年</w:t>
            </w:r>
          </w:p>
        </w:tc>
        <w:tc>
          <w:tcPr>
            <w:tcW w:w="2285" w:type="dxa"/>
            <w:vMerge w:val="continue"/>
            <w:noWrap w:val="0"/>
            <w:vAlign w:val="top"/>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325"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大八浪乡</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21756.71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15229.70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15229.70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17040.36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桦南林业局</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14792.72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10354.91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10354.91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21048.25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14733.77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14733.77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15172.36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40.67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桦南种畜场</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4158.39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2910.87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2910.87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2278.74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金沙乡</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16054.95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11238.46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11238.46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12825.46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梨树乡</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23014.33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16110.03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16110.03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16909.89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952.25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孟家岗镇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24493.83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17145.68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17145.68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18391.90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明义乡</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19281.83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13497.28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13497.28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15917.44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 xml:space="preserve">农垦红兴隆管理局 </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13666.41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9566.49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9566.49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10644.37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石头河子镇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12214.59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8550.21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8550.21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7980.40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土龙山镇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41171.71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28820.20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28820.20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31775.35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驼腰子镇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8751.25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6125.88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6125.88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6227.08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闫家镇</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21093.79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14765.66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14765.66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14619.07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160.85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Times New Roman" w:eastAsia="仿宋_GB2312" w:cs="Times New Roman"/>
                <w:sz w:val="21"/>
                <w:szCs w:val="21"/>
              </w:rPr>
            </w:pPr>
            <w:r>
              <w:rPr>
                <w:rFonts w:hint="eastAsia" w:ascii="仿宋_GB2312" w:hAnsi="Times New Roman" w:eastAsia="仿宋_GB2312" w:cs="Times New Roman"/>
                <w:sz w:val="21"/>
                <w:szCs w:val="21"/>
              </w:rPr>
              <w:t>合计</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241498.76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169049.14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169049.14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169782.41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1162.87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其中：城市周边</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32"/>
                <w:szCs w:val="24"/>
              </w:rPr>
            </w:pPr>
            <w:r>
              <w:rPr>
                <w:rFonts w:hint="eastAsia" w:ascii="Times New Roman" w:hAnsi="Times New Roman" w:eastAsia="仿宋_GB2312" w:cs="Times New Roman"/>
                <w:sz w:val="21"/>
                <w:szCs w:val="21"/>
                <w:lang w:val="en-US" w:eastAsia="zh-CN"/>
              </w:rPr>
              <w:t xml:space="preserve">21048.25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32"/>
                <w:szCs w:val="24"/>
              </w:rPr>
            </w:pPr>
            <w:r>
              <w:rPr>
                <w:rFonts w:hint="default" w:ascii="Times New Roman" w:hAnsi="Times New Roman" w:eastAsia="仿宋_GB2312" w:cs="Times New Roman"/>
                <w:sz w:val="21"/>
                <w:szCs w:val="21"/>
                <w:lang w:val="en-US" w:eastAsia="zh-CN"/>
              </w:rPr>
              <w:t xml:space="preserve">14733.77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32"/>
                <w:szCs w:val="24"/>
              </w:rPr>
            </w:pPr>
            <w:r>
              <w:rPr>
                <w:rFonts w:hint="default" w:ascii="Times New Roman" w:hAnsi="Times New Roman" w:eastAsia="仿宋_GB2312" w:cs="Times New Roman"/>
                <w:sz w:val="21"/>
                <w:szCs w:val="21"/>
                <w:lang w:val="en-US" w:eastAsia="zh-CN"/>
              </w:rPr>
              <w:t xml:space="preserve">14733.77 </w:t>
            </w:r>
          </w:p>
        </w:tc>
        <w:tc>
          <w:tcPr>
            <w:tcW w:w="228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21"/>
                <w:szCs w:val="21"/>
                <w:lang w:val="en-US" w:eastAsia="zh-CN"/>
              </w:rPr>
              <w:t xml:space="preserve">15172.36 </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lang w:val="en-US" w:eastAsia="zh-CN"/>
              </w:rPr>
              <w:t xml:space="preserve">40.67 </w:t>
            </w:r>
          </w:p>
        </w:tc>
      </w:tr>
    </w:tbl>
    <w:p>
      <w:pPr>
        <w:pageBreakBefore w:val="0"/>
        <w:kinsoku/>
        <w:wordWrap/>
        <w:overflowPunct/>
        <w:topLinePunct w:val="0"/>
        <w:bidi w:val="0"/>
        <w:snapToGrid/>
        <w:spacing w:line="240" w:lineRule="auto"/>
        <w:ind w:firstLine="0" w:firstLineChars="0"/>
        <w:outlineLvl w:val="9"/>
        <w:rPr>
          <w:rFonts w:hint="default" w:ascii="Times New Roman" w:hAnsi="Times New Roman" w:eastAsia="仿宋_GB2312" w:cs="Times New Roman"/>
          <w:sz w:val="32"/>
          <w:szCs w:val="24"/>
        </w:rPr>
      </w:pPr>
    </w:p>
    <w:p>
      <w:pPr>
        <w:pageBreakBefore w:val="0"/>
        <w:widowControl/>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r>
        <w:rPr>
          <w:rFonts w:hint="default" w:ascii="Times New Roman" w:hAnsi="Times New Roman" w:eastAsia="仿宋_GB2312" w:cs="Times New Roman"/>
          <w:sz w:val="32"/>
          <w:szCs w:val="24"/>
        </w:rPr>
        <w:br w:type="page"/>
      </w:r>
      <w:bookmarkStart w:id="151" w:name="_Toc69487187"/>
      <w:bookmarkStart w:id="152" w:name="_Toc71359864"/>
      <w:bookmarkStart w:id="153" w:name="_Toc73634230"/>
      <w:bookmarkStart w:id="154" w:name="_Toc73641179"/>
      <w:r>
        <w:rPr>
          <w:rFonts w:hint="eastAsia" w:ascii="仿宋_GB2312" w:hAnsi="仿宋_GB2312" w:eastAsia="仿宋_GB2312" w:cs="仿宋_GB2312"/>
          <w:b w:val="0"/>
          <w:bCs w:val="0"/>
          <w:kern w:val="2"/>
          <w:sz w:val="28"/>
          <w:szCs w:val="28"/>
          <w:lang w:val="en-US" w:eastAsia="zh-CN" w:bidi="ar-SA"/>
        </w:rPr>
        <w:t>表8林地保有量指标分解表</w:t>
      </w:r>
      <w:bookmarkEnd w:id="151"/>
      <w:bookmarkEnd w:id="152"/>
      <w:bookmarkEnd w:id="153"/>
      <w:bookmarkEnd w:id="154"/>
    </w:p>
    <w:p>
      <w:pPr>
        <w:pageBreakBefore w:val="0"/>
        <w:kinsoku/>
        <w:wordWrap/>
        <w:overflowPunct/>
        <w:topLinePunct w:val="0"/>
        <w:bidi w:val="0"/>
        <w:snapToGrid/>
        <w:spacing w:line="240" w:lineRule="auto"/>
        <w:ind w:firstLine="0" w:firstLineChars="0"/>
        <w:jc w:val="right"/>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单位：公顷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Times New Roman" w:hAnsi="Times New Roman" w:eastAsia="仿宋_GB2312" w:cs="Times New Roman"/>
                <w:sz w:val="21"/>
                <w:szCs w:val="21"/>
              </w:rPr>
              <w:t>行政区划</w:t>
            </w:r>
          </w:p>
        </w:tc>
        <w:tc>
          <w:tcPr>
            <w:tcW w:w="278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规划基期年</w:t>
            </w:r>
            <w:r>
              <w:rPr>
                <w:rFonts w:hint="eastAsia" w:ascii="Times New Roman" w:hAnsi="Times New Roman" w:eastAsia="仿宋_GB2312" w:cs="Times New Roman"/>
                <w:sz w:val="21"/>
                <w:szCs w:val="21"/>
              </w:rPr>
              <w:t>林地</w:t>
            </w:r>
            <w:r>
              <w:rPr>
                <w:rFonts w:hint="default" w:ascii="Times New Roman" w:hAnsi="Times New Roman" w:eastAsia="仿宋_GB2312" w:cs="Times New Roman"/>
                <w:sz w:val="21"/>
                <w:szCs w:val="21"/>
              </w:rPr>
              <w:t>面积</w:t>
            </w:r>
          </w:p>
        </w:tc>
        <w:tc>
          <w:tcPr>
            <w:tcW w:w="5580" w:type="dxa"/>
            <w:gridSpan w:val="2"/>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4"/>
                <w:szCs w:val="24"/>
                <w:lang w:val="en-US" w:eastAsia="zh-CN" w:bidi="ar-SA"/>
              </w:rPr>
            </w:pPr>
            <w:r>
              <w:rPr>
                <w:rFonts w:hint="eastAsia" w:ascii="Times New Roman" w:hAnsi="Times New Roman" w:eastAsia="仿宋_GB2312" w:cs="Times New Roman"/>
                <w:color w:val="000000"/>
                <w:sz w:val="21"/>
                <w:szCs w:val="21"/>
                <w:lang w:val="en-US" w:eastAsia="zh-CN" w:bidi="ar-SA"/>
              </w:rPr>
              <w:t>林地</w:t>
            </w:r>
            <w:r>
              <w:rPr>
                <w:rFonts w:hint="default" w:ascii="Times New Roman" w:hAnsi="Times New Roman" w:eastAsia="仿宋_GB2312" w:cs="Times New Roman"/>
                <w:color w:val="000000"/>
                <w:sz w:val="21"/>
                <w:szCs w:val="21"/>
                <w:lang w:val="en-US" w:eastAsia="zh-CN" w:bidi="ar-SA"/>
              </w:rPr>
              <w:t>保有量指标</w:t>
            </w:r>
          </w:p>
        </w:tc>
        <w:tc>
          <w:tcPr>
            <w:tcW w:w="2790" w:type="dxa"/>
            <w:vMerge w:val="restart"/>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4"/>
                <w:szCs w:val="24"/>
                <w:lang w:val="en-US" w:eastAsia="zh-CN" w:bidi="ar-SA"/>
              </w:rPr>
            </w:pPr>
            <w:r>
              <w:rPr>
                <w:rFonts w:hint="eastAsia" w:ascii="Times New Roman" w:hAnsi="Times New Roman" w:eastAsia="仿宋_GB2312" w:cs="Times New Roman"/>
                <w:color w:val="000000"/>
                <w:sz w:val="21"/>
                <w:szCs w:val="21"/>
                <w:lang w:val="en-US" w:eastAsia="zh-CN" w:bidi="ar-SA"/>
              </w:rPr>
              <w:t>公益林</w:t>
            </w:r>
            <w:r>
              <w:rPr>
                <w:rFonts w:hint="default" w:ascii="Times New Roman" w:hAnsi="Times New Roman" w:eastAsia="仿宋_GB2312" w:cs="Times New Roman"/>
                <w:color w:val="000000"/>
                <w:sz w:val="21"/>
                <w:szCs w:val="21"/>
                <w:lang w:val="en-US" w:eastAsia="zh-CN" w:bidi="ar-SA"/>
              </w:rPr>
              <w:t>保护面积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7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7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近期目标年</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规划目标年</w:t>
            </w:r>
          </w:p>
        </w:tc>
        <w:tc>
          <w:tcPr>
            <w:tcW w:w="2790"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大八浪乡</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6207.54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4345.28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4345.28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桦南林业局</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75829.77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53080.84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53080.84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3889.20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2722.44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2722.44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桦南种畜场</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403.58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282.51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282.51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金沙乡</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10487.12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7340.99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7340.99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梨树乡</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724.36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507.05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507.05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孟家岗镇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32105.64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22473.94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22473.94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明义乡</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10076.51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7053.56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7053.56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 xml:space="preserve">农垦红兴隆管理局 </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1880.77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1316.54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1316.54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top"/>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top"/>
              <w:outlineLvl w:val="9"/>
              <w:rPr>
                <w:rFonts w:hint="default"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石头河子镇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17702.72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12391.90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12391.90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土龙山镇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1632.76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1142.93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1142.93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驼腰子镇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4923.83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3446.68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3446.68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keepNext w:val="0"/>
              <w:keepLines w:val="0"/>
              <w:pageBreakBefore w:val="0"/>
              <w:widowControl/>
              <w:suppressLineNumbers w:val="0"/>
              <w:kinsoku/>
              <w:wordWrap/>
              <w:overflowPunct/>
              <w:topLinePunct w:val="0"/>
              <w:bidi w:val="0"/>
              <w:snapToGrid/>
              <w:spacing w:line="240" w:lineRule="auto"/>
              <w:ind w:firstLine="0" w:firstLineChars="0"/>
              <w:jc w:val="center"/>
              <w:textAlignment w:val="center"/>
              <w:outlineLvl w:val="9"/>
              <w:rPr>
                <w:rFonts w:hint="eastAsia" w:ascii="仿宋_GB2312" w:hAnsi="Times New Roman" w:eastAsia="仿宋_GB2312" w:cs="Times New Roman"/>
                <w:sz w:val="21"/>
                <w:szCs w:val="21"/>
              </w:rPr>
            </w:pPr>
            <w:r>
              <w:rPr>
                <w:rFonts w:hint="eastAsia" w:ascii="仿宋_GB2312" w:hAnsi="宋体" w:eastAsia="仿宋_GB2312" w:cs="仿宋_GB2312"/>
                <w:i w:val="0"/>
                <w:color w:val="000000"/>
                <w:kern w:val="0"/>
                <w:sz w:val="21"/>
                <w:szCs w:val="21"/>
                <w:u w:val="none"/>
                <w:lang w:val="en-US" w:eastAsia="zh-CN" w:bidi="ar"/>
              </w:rPr>
              <w:t>闫家镇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1355.40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948.78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948.78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Times New Roman" w:eastAsia="仿宋_GB2312" w:cs="Times New Roman"/>
                <w:sz w:val="21"/>
                <w:szCs w:val="21"/>
              </w:rPr>
            </w:pPr>
            <w:r>
              <w:rPr>
                <w:rFonts w:hint="eastAsia" w:ascii="仿宋_GB2312" w:hAnsi="Times New Roman" w:eastAsia="仿宋_GB2312" w:cs="Times New Roman"/>
                <w:sz w:val="21"/>
                <w:szCs w:val="21"/>
              </w:rPr>
              <w:t>合计</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167219.19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117053.44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117053.44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Times New Roman" w:eastAsia="仿宋_GB2312" w:cs="Times New Roman"/>
                <w:sz w:val="21"/>
                <w:szCs w:val="21"/>
              </w:rPr>
            </w:pPr>
            <w:r>
              <w:rPr>
                <w:rFonts w:hint="eastAsia" w:ascii="Times New Roman" w:hAnsi="Times New Roman" w:eastAsia="仿宋_GB2312" w:cs="Times New Roman"/>
                <w:sz w:val="21"/>
                <w:szCs w:val="21"/>
              </w:rPr>
              <w:t>其中：中心城镇</w:t>
            </w:r>
          </w:p>
        </w:tc>
        <w:tc>
          <w:tcPr>
            <w:tcW w:w="278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3889.20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2722.44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2722.44 </w:t>
            </w:r>
          </w:p>
        </w:tc>
        <w:tc>
          <w:tcPr>
            <w:tcW w:w="279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bl>
    <w:p>
      <w:pPr>
        <w:pageBreakBefore w:val="0"/>
        <w:kinsoku/>
        <w:wordWrap/>
        <w:overflowPunct/>
        <w:topLinePunct w:val="0"/>
        <w:bidi w:val="0"/>
        <w:snapToGrid/>
        <w:spacing w:line="240" w:lineRule="auto"/>
        <w:ind w:firstLine="0" w:firstLineChars="0"/>
        <w:outlineLvl w:val="9"/>
        <w:rPr>
          <w:rFonts w:hint="default" w:ascii="Times New Roman" w:hAnsi="Times New Roman" w:eastAsia="仿宋_GB2312" w:cs="Times New Roman"/>
          <w:sz w:val="32"/>
          <w:szCs w:val="24"/>
        </w:rPr>
      </w:pPr>
    </w:p>
    <w:p>
      <w:pPr>
        <w:pageBreakBefore w:val="0"/>
        <w:widowControl/>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r>
        <w:rPr>
          <w:rFonts w:hint="default" w:ascii="Times New Roman" w:hAnsi="Times New Roman" w:eastAsia="仿宋_GB2312" w:cs="Times New Roman"/>
          <w:sz w:val="32"/>
          <w:szCs w:val="24"/>
        </w:rPr>
        <w:br w:type="page"/>
      </w:r>
      <w:bookmarkStart w:id="155" w:name="_Toc73634233"/>
      <w:bookmarkStart w:id="156" w:name="_Toc71359867"/>
      <w:bookmarkStart w:id="157" w:name="_Toc73641182"/>
      <w:bookmarkStart w:id="158" w:name="_Toc69487190"/>
      <w:r>
        <w:rPr>
          <w:rFonts w:hint="eastAsia" w:ascii="仿宋_GB2312" w:hAnsi="仿宋_GB2312" w:eastAsia="仿宋_GB2312" w:cs="仿宋_GB2312"/>
          <w:b w:val="0"/>
          <w:bCs w:val="0"/>
          <w:kern w:val="2"/>
          <w:sz w:val="28"/>
          <w:szCs w:val="28"/>
          <w:lang w:val="en-US" w:eastAsia="zh-CN" w:bidi="ar-SA"/>
        </w:rPr>
        <w:t>表11自然保护地一览表</w:t>
      </w:r>
      <w:bookmarkEnd w:id="155"/>
      <w:bookmarkEnd w:id="156"/>
      <w:bookmarkEnd w:id="157"/>
      <w:bookmarkEnd w:id="158"/>
    </w:p>
    <w:p>
      <w:pPr>
        <w:pageBreakBefore w:val="0"/>
        <w:kinsoku/>
        <w:wordWrap/>
        <w:overflowPunct/>
        <w:topLinePunct w:val="0"/>
        <w:bidi w:val="0"/>
        <w:snapToGrid/>
        <w:spacing w:line="240" w:lineRule="auto"/>
        <w:ind w:firstLine="0" w:firstLineChars="0"/>
        <w:jc w:val="right"/>
        <w:outlineLvl w:val="9"/>
        <w:rPr>
          <w:rFonts w:hint="default" w:ascii="Times New Roman" w:hAnsi="Times New Roman" w:eastAsia="仿宋_GB2312" w:cs="Times New Roman"/>
          <w:sz w:val="24"/>
          <w:szCs w:val="21"/>
        </w:rPr>
      </w:pPr>
      <w:r>
        <w:rPr>
          <w:rFonts w:hint="eastAsia" w:ascii="Times New Roman" w:hAnsi="Times New Roman" w:eastAsia="仿宋_GB2312" w:cs="Times New Roman"/>
          <w:sz w:val="24"/>
          <w:szCs w:val="21"/>
        </w:rPr>
        <w:t>单位：公顷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5"/>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1"/>
                <w:szCs w:val="21"/>
                <w:lang w:val="en-US" w:eastAsia="zh-CN" w:bidi="ar-SA"/>
              </w:rPr>
            </w:pPr>
            <w:r>
              <w:rPr>
                <w:rFonts w:hint="default" w:ascii="Times New Roman" w:hAnsi="Times New Roman" w:eastAsia="仿宋_GB2312" w:cs="Times New Roman"/>
                <w:color w:val="000000"/>
                <w:sz w:val="21"/>
                <w:szCs w:val="21"/>
                <w:lang w:val="en-US" w:eastAsia="zh-CN" w:bidi="ar-SA"/>
              </w:rPr>
              <w:t>序号</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名称</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保护区范围所在行政区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总面积</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保护区类型</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黑龙江七星砬子东北虎国家级自然保护区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桦南林业局</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39062.78</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国家公园</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省</w:t>
            </w:r>
            <w:r>
              <w:rPr>
                <w:rFonts w:hint="default" w:ascii="Times New Roman" w:hAnsi="Times New Roman" w:eastAsia="仿宋_GB2312"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黑龙江七星砬子东北虎国家级自然保护区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桦南林业局</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11788.05</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val="en-US" w:eastAsia="zh-CN" w:bidi="ar-SA"/>
              </w:rPr>
              <w:t>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w:t>
            </w:r>
            <w:r>
              <w:rPr>
                <w:rFonts w:hint="default" w:ascii="Times New Roman" w:hAnsi="Times New Roman" w:eastAsia="仿宋_GB2312"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黑龙江佳木斯七星湖省级森林公园</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4672.33</w:t>
            </w:r>
          </w:p>
        </w:tc>
        <w:tc>
          <w:tcPr>
            <w:tcW w:w="2325" w:type="dxa"/>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1"/>
                <w:szCs w:val="21"/>
                <w:lang w:val="en-US" w:eastAsia="zh-CN" w:bidi="ar-SA"/>
              </w:rPr>
            </w:pPr>
            <w:r>
              <w:rPr>
                <w:rFonts w:hint="default" w:ascii="Times New Roman" w:hAnsi="Times New Roman" w:eastAsia="仿宋_GB2312" w:cs="Times New Roman"/>
                <w:color w:val="000000"/>
                <w:sz w:val="21"/>
                <w:szCs w:val="21"/>
                <w:lang w:val="en-US" w:eastAsia="zh-CN" w:bidi="ar-SA"/>
              </w:rPr>
              <w:t>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黑龙江佳木斯共和水库省级湿地公园</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439.57</w:t>
            </w:r>
          </w:p>
        </w:tc>
        <w:tc>
          <w:tcPr>
            <w:tcW w:w="2325" w:type="dxa"/>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1"/>
                <w:szCs w:val="21"/>
                <w:lang w:val="en-US" w:eastAsia="zh-CN" w:bidi="ar-SA"/>
              </w:rPr>
            </w:pPr>
            <w:r>
              <w:rPr>
                <w:rFonts w:hint="default" w:ascii="Times New Roman" w:hAnsi="Times New Roman" w:eastAsia="仿宋_GB2312" w:cs="Times New Roman"/>
                <w:color w:val="000000"/>
                <w:sz w:val="21"/>
                <w:szCs w:val="21"/>
                <w:lang w:val="en-US" w:eastAsia="zh-CN" w:bidi="ar-SA"/>
              </w:rPr>
              <w:t>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汇总分析</w:t>
            </w:r>
          </w:p>
        </w:tc>
        <w:tc>
          <w:tcPr>
            <w:tcW w:w="4649" w:type="dxa"/>
            <w:gridSpan w:val="2"/>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黑龙江七星砬子东北虎国家级自然保护区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39062.78</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国家公园</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省</w:t>
            </w:r>
            <w:r>
              <w:rPr>
                <w:rFonts w:hint="default" w:ascii="Times New Roman" w:hAnsi="Times New Roman" w:eastAsia="仿宋_GB2312"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4649" w:type="dxa"/>
            <w:gridSpan w:val="2"/>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黑龙江七星砬子东北虎国家级自然保护区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11788.05</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省</w:t>
            </w:r>
            <w:r>
              <w:rPr>
                <w:rFonts w:hint="default" w:ascii="Times New Roman" w:hAnsi="Times New Roman" w:eastAsia="仿宋_GB2312" w:cs="Times New Roman"/>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4649" w:type="dxa"/>
            <w:gridSpan w:val="2"/>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黑龙江佳木斯七星湖省级森林公园</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rPr>
              <w:t>黑龙江佳木斯共和水库省级湿地公园</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5111.9</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val="en-US" w:eastAsia="zh-CN" w:bidi="ar-SA"/>
              </w:rPr>
              <w:t>自然保护区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合计</w:t>
            </w:r>
          </w:p>
        </w:tc>
        <w:tc>
          <w:tcPr>
            <w:tcW w:w="4649" w:type="dxa"/>
            <w:gridSpan w:val="2"/>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55962.73</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r>
    </w:tbl>
    <w:p>
      <w:pPr>
        <w:pageBreakBefore w:val="0"/>
        <w:kinsoku/>
        <w:wordWrap/>
        <w:overflowPunct/>
        <w:topLinePunct w:val="0"/>
        <w:bidi w:val="0"/>
        <w:snapToGrid/>
        <w:spacing w:line="240" w:lineRule="auto"/>
        <w:ind w:firstLine="0" w:firstLineChars="0"/>
        <w:outlineLvl w:val="9"/>
        <w:rPr>
          <w:rFonts w:hint="default" w:ascii="Times New Roman" w:hAnsi="Times New Roman" w:eastAsia="仿宋_GB2312" w:cs="Times New Roman"/>
          <w:sz w:val="32"/>
          <w:szCs w:val="24"/>
        </w:rPr>
      </w:pPr>
    </w:p>
    <w:p>
      <w:pPr>
        <w:pageBreakBefore w:val="0"/>
        <w:widowControl/>
        <w:kinsoku/>
        <w:wordWrap/>
        <w:overflowPunct/>
        <w:topLinePunct w:val="0"/>
        <w:bidi w:val="0"/>
        <w:snapToGrid/>
        <w:spacing w:line="240" w:lineRule="auto"/>
        <w:ind w:firstLine="0" w:firstLineChars="0"/>
        <w:jc w:val="left"/>
        <w:outlineLvl w:val="9"/>
        <w:rPr>
          <w:rFonts w:hint="eastAsia" w:ascii="仿宋_GB2312" w:hAnsi="仿宋_GB2312" w:eastAsia="仿宋_GB2312" w:cs="仿宋_GB2312"/>
          <w:b w:val="0"/>
          <w:bCs w:val="0"/>
          <w:kern w:val="2"/>
          <w:sz w:val="28"/>
          <w:szCs w:val="28"/>
          <w:lang w:val="en-US" w:eastAsia="zh-CN" w:bidi="ar-SA"/>
        </w:rPr>
      </w:pPr>
      <w:r>
        <w:rPr>
          <w:rFonts w:hint="default" w:ascii="Times New Roman" w:hAnsi="Times New Roman" w:eastAsia="仿宋_GB2312" w:cs="Times New Roman"/>
          <w:sz w:val="32"/>
          <w:szCs w:val="24"/>
        </w:rPr>
        <w:br w:type="page"/>
      </w:r>
      <w:bookmarkStart w:id="159" w:name="_Toc73641183"/>
      <w:bookmarkStart w:id="160" w:name="_Toc69487191"/>
      <w:bookmarkStart w:id="161" w:name="_Toc71359868"/>
      <w:bookmarkStart w:id="162" w:name="_Toc73634234"/>
      <w:r>
        <w:rPr>
          <w:rFonts w:hint="eastAsia" w:ascii="仿宋_GB2312" w:hAnsi="仿宋_GB2312" w:eastAsia="仿宋_GB2312" w:cs="仿宋_GB2312"/>
          <w:b w:val="0"/>
          <w:bCs w:val="0"/>
          <w:kern w:val="2"/>
          <w:sz w:val="28"/>
          <w:szCs w:val="28"/>
          <w:lang w:val="en-US" w:eastAsia="zh-CN" w:bidi="ar-SA"/>
        </w:rPr>
        <w:t>表12历史文化资源一览表</w:t>
      </w:r>
      <w:bookmarkEnd w:id="159"/>
      <w:bookmarkEnd w:id="160"/>
      <w:bookmarkEnd w:id="161"/>
      <w:bookmarkEnd w:id="16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711"/>
        <w:gridCol w:w="1938"/>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序号</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名称</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行政辖区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级别</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类别</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土龙山镇侵华日军飞机堡</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土龙山镇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油坊村东北三号城址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油坊村东北二号城址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油坊村东北一号城址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5</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孟家岗镇抗日纪念碑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6</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青背林场抗日战斗遗址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7</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七星林场七星砬子东北抗联根据地遗址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林业局</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福庆社区侵华日军飞机堡</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奋斗社区湖南营抗日战斗遗址纪念碑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10</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奋斗社区侵华日军工事遗址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11</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前进社区侵华日军飞机堡</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12</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驼腰子金矿工人暴动抗日纪念碑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驼腰子镇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13</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土龙山农民暴动抗日纪念碑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土龙山镇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14</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城子岭村大架山城址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15</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城子岭村北城址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16</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城子岭村南城址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17</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丰基村西城址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18</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丰基村西北遗址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19</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公平村西南一号城址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20</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公平村西南二号城址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21</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公平村南一号遗址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22</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公平村南二号遗址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23</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公平村南三号遗址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24</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红旗村西城址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25</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红旗村南城址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26</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红旗村东南一号城址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27</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公心集村西遗址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28</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老街基村九里六抗日纪念碑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29</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民富村北遗址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30</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民富村北城址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31</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幸福村鹿场东城址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32</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幸福村鹿场西遗址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33</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四化村东北遗址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34</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幸福村鹿场南城址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35</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富禄村东遗址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36</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油坊村西北遗址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37</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油坊村北山城址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38</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三合村半截河子抗日纪念碑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39</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石头河镇抗日纪念碑</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石头河镇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40</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孟家岗致富村东北东北抗联遗址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41</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孟家岗致富村东南东北抗联遗址</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42</w:t>
            </w:r>
          </w:p>
        </w:tc>
        <w:tc>
          <w:tcPr>
            <w:tcW w:w="2711"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孟家岗致富村东北东北抗联密营</w:t>
            </w:r>
          </w:p>
        </w:tc>
        <w:tc>
          <w:tcPr>
            <w:tcW w:w="19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县级</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文物保护单位</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rPr>
            </w:pPr>
          </w:p>
        </w:tc>
      </w:tr>
    </w:tbl>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r>
        <w:rPr>
          <w:rFonts w:hint="eastAsia" w:ascii="Times New Roman" w:hAnsi="Times New Roman" w:eastAsia="仿宋_GB2312" w:cs="Times New Roman"/>
          <w:sz w:val="21"/>
          <w:szCs w:val="21"/>
        </w:rPr>
        <w:br w:type="page"/>
      </w:r>
      <w:bookmarkStart w:id="163" w:name="_Toc73634235"/>
      <w:bookmarkStart w:id="164" w:name="_Toc73641184"/>
      <w:bookmarkStart w:id="165" w:name="_Toc71359869"/>
      <w:bookmarkStart w:id="166" w:name="_Toc69487192"/>
      <w:r>
        <w:rPr>
          <w:rFonts w:hint="eastAsia" w:ascii="仿宋_GB2312" w:hAnsi="仿宋_GB2312" w:eastAsia="仿宋_GB2312" w:cs="仿宋_GB2312"/>
          <w:b w:val="0"/>
          <w:bCs w:val="0"/>
          <w:kern w:val="2"/>
          <w:sz w:val="28"/>
          <w:szCs w:val="28"/>
          <w:lang w:val="en-US" w:eastAsia="zh-CN" w:bidi="ar-SA"/>
        </w:rPr>
        <w:t>表13城镇体系规划表</w:t>
      </w:r>
      <w:bookmarkEnd w:id="163"/>
      <w:bookmarkEnd w:id="164"/>
      <w:bookmarkEnd w:id="165"/>
      <w:bookmarkEnd w:id="166"/>
    </w:p>
    <w:p>
      <w:pPr>
        <w:pageBreakBefore w:val="0"/>
        <w:kinsoku/>
        <w:wordWrap/>
        <w:overflowPunct/>
        <w:topLinePunct w:val="0"/>
        <w:bidi w:val="0"/>
        <w:snapToGrid/>
        <w:spacing w:line="240" w:lineRule="auto"/>
        <w:ind w:firstLine="0" w:firstLineChars="0"/>
        <w:jc w:val="right"/>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单位：万人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59"/>
        <w:gridCol w:w="2325"/>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等级</w:t>
            </w:r>
          </w:p>
        </w:tc>
        <w:tc>
          <w:tcPr>
            <w:tcW w:w="1959"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个数</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名称</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人口规模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职能分工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1"/>
                <w:szCs w:val="21"/>
              </w:rPr>
              <w:t>特色指引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noWrap w:val="0"/>
            <w:vAlign w:val="center"/>
          </w:tcPr>
          <w:p>
            <w:pPr>
              <w:pageBreakBefore w:val="0"/>
              <w:widowControl w:val="0"/>
              <w:kinsoku/>
              <w:wordWrap/>
              <w:overflowPunct/>
              <w:topLinePunct w:val="0"/>
              <w:autoSpaceDE w:val="0"/>
              <w:autoSpaceDN w:val="0"/>
              <w:bidi w:val="0"/>
              <w:adjustRightInd w:val="0"/>
              <w:snapToGrid/>
              <w:spacing w:line="240" w:lineRule="auto"/>
              <w:ind w:firstLine="0" w:firstLineChars="0"/>
              <w:jc w:val="center"/>
              <w:outlineLvl w:val="9"/>
              <w:rPr>
                <w:rFonts w:hint="default" w:ascii="Times New Roman" w:hAnsi="Times New Roman" w:eastAsia="仿宋_GB2312" w:cs="Times New Roman"/>
                <w:color w:val="000000"/>
                <w:sz w:val="21"/>
                <w:szCs w:val="21"/>
                <w:lang w:val="en-US" w:eastAsia="zh-CN" w:bidi="ar-SA"/>
              </w:rPr>
            </w:pPr>
            <w:r>
              <w:rPr>
                <w:rFonts w:hint="eastAsia" w:ascii="Times New Roman" w:hAnsi="Times New Roman" w:eastAsia="仿宋_GB2312" w:cs="Times New Roman"/>
                <w:color w:val="000000"/>
                <w:sz w:val="21"/>
                <w:szCs w:val="21"/>
                <w:lang w:val="en-US" w:eastAsia="zh-CN" w:bidi="ar-SA"/>
              </w:rPr>
              <w:t>中心城镇</w:t>
            </w:r>
          </w:p>
        </w:tc>
        <w:tc>
          <w:tcPr>
            <w:tcW w:w="1959"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中心城区（桦南镇）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10万以上</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绿色食品精深加工、机械设备制造、新型建</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32"/>
                <w:szCs w:val="24"/>
                <w:lang w:val="en-US" w:eastAsia="zh-CN"/>
              </w:rPr>
            </w:pPr>
            <w:r>
              <w:rPr>
                <w:rFonts w:hint="default" w:ascii="Times New Roman" w:hAnsi="Times New Roman" w:eastAsia="仿宋_GB2312" w:cs="Times New Roman"/>
                <w:sz w:val="24"/>
                <w:szCs w:val="24"/>
              </w:rPr>
              <w:t>产业发展型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仿宋" w:hAnsi="等线" w:eastAsia="仿宋" w:cs="仿宋"/>
                <w:kern w:val="0"/>
                <w:sz w:val="21"/>
                <w:szCs w:val="21"/>
              </w:rPr>
              <w:t>重点镇</w:t>
            </w:r>
          </w:p>
        </w:tc>
        <w:tc>
          <w:tcPr>
            <w:tcW w:w="195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孟家岗镇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林下产品加工、矿产经济</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生态保护型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土龙山镇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石头河子镇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林下产品加工、矿产经济</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生态保护型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一般镇</w:t>
            </w:r>
          </w:p>
          <w:p>
            <w:pPr>
              <w:pageBreakBefore w:val="0"/>
              <w:kinsoku/>
              <w:wordWrap/>
              <w:overflowPunct/>
              <w:topLinePunct w:val="0"/>
              <w:bidi w:val="0"/>
              <w:snapToGrid/>
              <w:spacing w:line="240" w:lineRule="auto"/>
              <w:ind w:firstLine="0" w:firstLineChars="0"/>
              <w:jc w:val="both"/>
              <w:outlineLvl w:val="9"/>
              <w:rPr>
                <w:rFonts w:hint="default" w:ascii="Times New Roman" w:hAnsi="Times New Roman" w:eastAsia="仿宋_GB2312" w:cs="Times New Roman"/>
                <w:sz w:val="21"/>
                <w:szCs w:val="21"/>
              </w:rPr>
            </w:pPr>
          </w:p>
        </w:tc>
        <w:tc>
          <w:tcPr>
            <w:tcW w:w="195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驼腰子镇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农林产品、矿产经济</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生态保护型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明义乡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旅游、农副产品加工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文旅融合性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梨树乡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商贸物流型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金沙乡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闫家镇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大八浪乡</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0.5—1万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其他</w:t>
            </w:r>
          </w:p>
        </w:tc>
        <w:tc>
          <w:tcPr>
            <w:tcW w:w="1959" w:type="dxa"/>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林业局局址</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曙光农场场域</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农副产品加工</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rPr>
            </w:pPr>
          </w:p>
        </w:tc>
        <w:tc>
          <w:tcPr>
            <w:tcW w:w="1959" w:type="dxa"/>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种畜场场域</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eastAsia" w:ascii="仿宋_GB2312" w:hAnsi="仿宋_GB2312" w:eastAsia="仿宋_GB2312" w:cs="仿宋_GB2312"/>
                <w:kern w:val="0"/>
                <w:sz w:val="24"/>
                <w:szCs w:val="24"/>
              </w:rPr>
              <w:t>1—5万</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以农养畜</w:t>
            </w:r>
          </w:p>
        </w:tc>
        <w:tc>
          <w:tcPr>
            <w:tcW w:w="2325" w:type="dxa"/>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32"/>
                <w:szCs w:val="24"/>
              </w:rPr>
            </w:pPr>
            <w:r>
              <w:rPr>
                <w:rFonts w:hint="default" w:ascii="Times New Roman" w:hAnsi="Times New Roman" w:eastAsia="仿宋_GB2312" w:cs="Times New Roman"/>
                <w:sz w:val="24"/>
                <w:szCs w:val="24"/>
              </w:rPr>
              <w:t>现代农业型</w:t>
            </w:r>
          </w:p>
        </w:tc>
      </w:tr>
    </w:tbl>
    <w:p>
      <w:pPr>
        <w:pageBreakBefore w:val="0"/>
        <w:kinsoku/>
        <w:wordWrap/>
        <w:overflowPunct/>
        <w:topLinePunct w:val="0"/>
        <w:bidi w:val="0"/>
        <w:snapToGrid/>
        <w:spacing w:line="240" w:lineRule="auto"/>
        <w:ind w:firstLine="0" w:firstLineChars="0"/>
        <w:outlineLvl w:val="9"/>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注</w:t>
      </w: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人口规模分0.1万以下、0.1—0.5万、0.5—1万、1—5万、5—10万、10万以上等；</w:t>
      </w:r>
    </w:p>
    <w:p>
      <w:pPr>
        <w:pageBreakBefore w:val="0"/>
        <w:kinsoku/>
        <w:wordWrap/>
        <w:overflowPunct/>
        <w:topLinePunct w:val="0"/>
        <w:bidi w:val="0"/>
        <w:snapToGrid/>
        <w:spacing w:line="240" w:lineRule="auto"/>
        <w:ind w:firstLine="0" w:firstLineChars="0"/>
        <w:outlineLvl w:val="9"/>
        <w:rPr>
          <w:rFonts w:hint="default" w:ascii="Times New Roman" w:hAnsi="Times New Roman" w:eastAsia="仿宋_GB2312" w:cs="Times New Roman"/>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乡</w:t>
      </w:r>
      <w:r>
        <w:rPr>
          <w:rFonts w:hint="default" w:ascii="Times New Roman" w:hAnsi="Times New Roman" w:eastAsia="仿宋_GB2312" w:cs="Times New Roman"/>
          <w:sz w:val="24"/>
          <w:szCs w:val="24"/>
        </w:rPr>
        <w:t>镇特色指引分为城郊服务型、产业发展型、商贸物流型、现代农业型、文旅融合性、生态保护型、其他特色型七类。</w:t>
      </w:r>
    </w:p>
    <w:p>
      <w:pPr>
        <w:pageBreakBefore w:val="0"/>
        <w:widowControl/>
        <w:kinsoku/>
        <w:wordWrap/>
        <w:overflowPunct/>
        <w:topLinePunct w:val="0"/>
        <w:bidi w:val="0"/>
        <w:snapToGrid/>
        <w:spacing w:line="240" w:lineRule="auto"/>
        <w:ind w:firstLine="0" w:firstLineChars="0"/>
        <w:jc w:val="left"/>
        <w:outlineLvl w:val="9"/>
        <w:rPr>
          <w:rFonts w:hint="default" w:ascii="仿宋_GB2312" w:hAnsi="Times New Roman" w:eastAsia="仿宋_GB2312" w:cs="Times New Roman"/>
          <w:sz w:val="24"/>
          <w:szCs w:val="24"/>
        </w:rPr>
      </w:pPr>
      <w:r>
        <w:rPr>
          <w:rFonts w:hint="default" w:ascii="仿宋_GB2312" w:hAnsi="Times New Roman" w:eastAsia="仿宋_GB2312" w:cs="Times New Roman"/>
          <w:sz w:val="24"/>
          <w:szCs w:val="24"/>
        </w:rPr>
        <w:br w:type="page"/>
      </w:r>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bookmarkStart w:id="167" w:name="_Toc73634236"/>
      <w:bookmarkStart w:id="168" w:name="_Toc69487193"/>
      <w:bookmarkStart w:id="169" w:name="_Toc71359870"/>
      <w:bookmarkStart w:id="170" w:name="_Toc73641185"/>
      <w:r>
        <w:rPr>
          <w:rFonts w:hint="eastAsia" w:ascii="仿宋_GB2312" w:hAnsi="仿宋_GB2312" w:eastAsia="仿宋_GB2312" w:cs="仿宋_GB2312"/>
          <w:b w:val="0"/>
          <w:bCs w:val="0"/>
          <w:kern w:val="2"/>
          <w:sz w:val="28"/>
          <w:szCs w:val="28"/>
          <w:lang w:val="en-US" w:eastAsia="zh-CN" w:bidi="ar-SA"/>
        </w:rPr>
        <w:t>表14村庄分类统计表</w:t>
      </w:r>
      <w:bookmarkEnd w:id="167"/>
      <w:bookmarkEnd w:id="168"/>
      <w:bookmarkEnd w:id="169"/>
      <w:bookmarkEnd w:id="170"/>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769"/>
        <w:gridCol w:w="1421"/>
        <w:gridCol w:w="2481"/>
        <w:gridCol w:w="141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序号</w:t>
            </w:r>
          </w:p>
        </w:tc>
        <w:tc>
          <w:tcPr>
            <w:tcW w:w="1124" w:type="pct"/>
            <w:gridSpan w:val="2"/>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集聚提升类</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城郊融合类</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搬迁撤并类</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特色保护类</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边境巩固类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闫家镇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 闫家村 老街基村 小八浪村 城子岭村 大吴家村 大张家村 北安村 中和村 宏伟村 荣安村 公平村 公心集村 桦木岗村 桦兴村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驼腰子镇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金缸村 金胜村 金山村 东合村 西合村 愚公村 新合村 上桦村 光明村 大兴沟村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土龙山镇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精勤村 四合村 胜利村 战生村 六合村 新颜村 合力村 新源村 洪林子村 巨宝村 凤歧村 长青村 振山村 柴家村 三王村 新发村 横岱村 前进村 丰收村 庆发村 新华村 永胜村 太义村 东大村 林发村 永发村 桃源村 新民村 五道岗村 金生村 福安村 复兴村 兴中村 大木岗村 东升村 丰林村 复胜村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石头河子镇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春富村 马家村 向阳村 庆丰村 义和村 仁和村 八一村 核心村 双丰村 桦阳村 林河村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明义乡</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新生村 东辉村 油坊村 双龙河村 东双龙河村 朝阳村 五分村 清茶村 兴旺村 团结村 北合发村 立新村 三合村 奋斗村 共和村 前合发村 永红村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明义村、永昌村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孟家岗镇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永丰村 保丰村 先进村 八虎力村 建华村 秋丰村 中心村 中平村 群英村 红日村 功兴村 东胜村 铁岭村 楼山村 太安村 兴隆村 永安村 朱家村 平安村 腰梨树村 黎明村 建国村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西平村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长安村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梨树乡</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梨树村 西大村 西柞村 永远村 北大村 南大村 东柞村 和平村 红光村 红大村 长兴村 永兴村 永久村 福兴村 大胜村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福山村 红历村 民主村 红升村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永和村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金沙乡</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红城 工农 红丰 前金沙 红新 东民主 长征 治山 卫东 红权</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桦南镇</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湖南营村 富贵村 民富村 五一村 宏元村 宏昌村 宏泰村 新庆村 南柳村 山春村 东柳村 向春村 北柳村 群力村 长龙岗村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正南村、正北村、正东村、腰营子村、隆胜村、桦丰村、双合村、富荣村、幸福村 东华村 太平村 东风村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624" w:type="pct"/>
            <w:vMerge w:val="restar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大八浪乡</w:t>
            </w: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村庄数量</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4" w:type="pct"/>
            <w:vMerge w:val="continue"/>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499"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村庄名称</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大八浪村 达连泡村 齐心村 东安村 新富村 九里六村 宝山村 双鸭子村 德荣村 振兴村 吉兴村 七一村 北太平村 先锋村 西太平村 检草沟村 二道沟村 铁山村</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大鲜村</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9" w:type="pct"/>
            <w:gridSpan w:val="3"/>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合计</w:t>
            </w:r>
          </w:p>
        </w:tc>
        <w:tc>
          <w:tcPr>
            <w:tcW w:w="87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169</w:t>
            </w:r>
          </w:p>
        </w:tc>
        <w:tc>
          <w:tcPr>
            <w:tcW w:w="498" w:type="pct"/>
            <w:noWrap w:val="0"/>
            <w:vAlign w:val="center"/>
          </w:tcPr>
          <w:p>
            <w:pPr>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625" w:type="pct"/>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r>
    </w:tbl>
    <w:p>
      <w:pPr>
        <w:pageBreakBefore w:val="0"/>
        <w:kinsoku/>
        <w:wordWrap/>
        <w:overflowPunct/>
        <w:topLinePunct w:val="0"/>
        <w:bidi w:val="0"/>
        <w:snapToGrid/>
        <w:spacing w:line="240" w:lineRule="auto"/>
        <w:ind w:firstLine="0" w:firstLineChars="0"/>
        <w:outlineLvl w:val="9"/>
        <w:rPr>
          <w:rFonts w:hint="default" w:ascii="仿宋_GB2312" w:hAnsi="Times New Roman" w:eastAsia="仿宋_GB2312" w:cs="Times New Roman"/>
          <w:sz w:val="24"/>
          <w:szCs w:val="24"/>
        </w:rPr>
      </w:pPr>
    </w:p>
    <w:p>
      <w:pPr>
        <w:pageBreakBefore w:val="0"/>
        <w:widowControl/>
        <w:kinsoku/>
        <w:wordWrap/>
        <w:overflowPunct/>
        <w:topLinePunct w:val="0"/>
        <w:bidi w:val="0"/>
        <w:snapToGrid/>
        <w:spacing w:line="240" w:lineRule="auto"/>
        <w:ind w:firstLine="0" w:firstLineChars="0"/>
        <w:jc w:val="left"/>
        <w:outlineLvl w:val="9"/>
        <w:rPr>
          <w:rFonts w:hint="default" w:ascii="仿宋_GB2312" w:hAnsi="Times New Roman" w:eastAsia="仿宋_GB2312" w:cs="Times New Roman"/>
          <w:sz w:val="24"/>
          <w:szCs w:val="24"/>
        </w:rPr>
      </w:pPr>
      <w:r>
        <w:rPr>
          <w:rFonts w:hint="default" w:ascii="仿宋_GB2312" w:hAnsi="Times New Roman" w:eastAsia="仿宋_GB2312" w:cs="Times New Roman"/>
          <w:sz w:val="24"/>
          <w:szCs w:val="24"/>
        </w:rPr>
        <w:br w:type="page"/>
      </w:r>
    </w:p>
    <w:p>
      <w:pPr>
        <w:keepNext/>
        <w:keepLines/>
        <w:pageBreakBefore w:val="0"/>
        <w:widowControl w:val="0"/>
        <w:kinsoku/>
        <w:wordWrap/>
        <w:overflowPunct/>
        <w:topLinePunct w:val="0"/>
        <w:bidi w:val="0"/>
        <w:snapToGrid/>
        <w:spacing w:line="240" w:lineRule="auto"/>
        <w:ind w:firstLine="0" w:firstLineChars="0"/>
        <w:jc w:val="center"/>
        <w:outlineLvl w:val="9"/>
        <w:rPr>
          <w:rFonts w:hint="eastAsia" w:ascii="仿宋_GB2312" w:hAnsi="仿宋_GB2312" w:eastAsia="仿宋_GB2312" w:cs="仿宋_GB2312"/>
          <w:b w:val="0"/>
          <w:bCs w:val="0"/>
          <w:kern w:val="2"/>
          <w:sz w:val="28"/>
          <w:szCs w:val="28"/>
          <w:lang w:val="en-US" w:eastAsia="zh-CN" w:bidi="ar-SA"/>
        </w:rPr>
      </w:pPr>
      <w:bookmarkStart w:id="171" w:name="_Toc71359871"/>
      <w:bookmarkStart w:id="172" w:name="_Toc73634237"/>
      <w:bookmarkStart w:id="173" w:name="_Toc73641186"/>
      <w:bookmarkStart w:id="174" w:name="_Toc69487194"/>
      <w:r>
        <w:rPr>
          <w:rFonts w:hint="eastAsia" w:ascii="仿宋_GB2312" w:hAnsi="仿宋_GB2312" w:eastAsia="仿宋_GB2312" w:cs="仿宋_GB2312"/>
          <w:b w:val="0"/>
          <w:bCs w:val="0"/>
          <w:kern w:val="2"/>
          <w:sz w:val="28"/>
          <w:szCs w:val="28"/>
          <w:lang w:val="en-US" w:eastAsia="zh-CN" w:bidi="ar-SA"/>
        </w:rPr>
        <w:t>表15重点工程建设项目安排表</w:t>
      </w:r>
      <w:bookmarkEnd w:id="171"/>
      <w:bookmarkEnd w:id="172"/>
      <w:bookmarkEnd w:id="173"/>
      <w:bookmarkEnd w:id="17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39"/>
        <w:gridCol w:w="5130"/>
        <w:gridCol w:w="1038"/>
        <w:gridCol w:w="1345"/>
        <w:gridCol w:w="35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序号</w:t>
            </w:r>
          </w:p>
        </w:tc>
        <w:tc>
          <w:tcPr>
            <w:tcW w:w="1339"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工程建设项目类型</w:t>
            </w:r>
          </w:p>
        </w:tc>
        <w:tc>
          <w:tcPr>
            <w:tcW w:w="5130"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工程建设项目名称</w:t>
            </w:r>
          </w:p>
        </w:tc>
        <w:tc>
          <w:tcPr>
            <w:tcW w:w="1038"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建设</w:t>
            </w:r>
          </w:p>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性质</w:t>
            </w:r>
          </w:p>
        </w:tc>
        <w:tc>
          <w:tcPr>
            <w:tcW w:w="1345"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建设年限</w:t>
            </w:r>
          </w:p>
        </w:tc>
        <w:tc>
          <w:tcPr>
            <w:tcW w:w="3505"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用地规模</w:t>
            </w:r>
          </w:p>
        </w:tc>
        <w:tc>
          <w:tcPr>
            <w:tcW w:w="1020" w:type="dxa"/>
            <w:noWrap w:val="0"/>
            <w:vAlign w:val="top"/>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七台河七南220千伏输变电工程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集贤-庆云500千伏输变电工程--集贤~庆云500kV线路</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黑龙江虎林西南岔66kV变电站66kV间隔扩建工程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佳木斯佳南220千伏变电站线路整理工程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绥化木兰220千伏输变电工程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黑龙江木兰县巴彦~东兴66kV线路工程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黑龙江木兰吉兴66kV输变电工程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黑龙江木兰县利东~东兴二回66kV线路工程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佳木斯东特高压配套500千伏线路工程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图佳线K481</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图佳线K494</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图佳线K519+969道口平改立工程_公路用地图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图佳线K510+842道口平改立工程公路用地图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 图佳线K510+842道口平改立工程公路用地图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 图佳线K523+930道口平改立工程_公路用地图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图佳线K525+468道口平改立工程_公路用地图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图佳线K539+800道口平改立工程_公路用地图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八虎力河治理工程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6988495.45平方米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柴家排干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362568.09平方米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城子岭1排干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37984.57平方米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城子岭泄洪沟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101488.81平方米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凤歧排干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71949.88平方米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福安排干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72204.58平方米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复兴排干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391761.06平方米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公心集截流沟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117531.86平方米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共和水库</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9193197.01平方米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共和水库总干渠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32047.3平方米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寒虫沟水库</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10145855.95平方米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桦木岗截流沟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117426.92平方米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桦木岗排干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52140.43平方米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桦兴排干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95675.24平方米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金生排干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236179.73平方米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巨宝截流沟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264511.04平方米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麻山区工业园区路</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2467285.4平方米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明德-永祥</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1723239.61平方米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七虎力2排干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79307.03平方米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七虎力灌区五一干渠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422739.19平方米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七虎力灌区永久干渠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258476.03平方米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七虎力灌区永远干渠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225269.17平方米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七虎林河堤防三期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8090830.54平方米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双庙排干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89472.37平方米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松木河治理工程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6584853.79平方米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铁西截流沟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373908.65平方米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图佳线K480（方案一上跨桥）</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16300.67平方米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图佳线K484+506-K486+816平面图道路改移</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54662.65平方米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图佳线K490+995</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17213.56平方米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图佳线K515+815_517+020道口平改立工程_公路用地图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30666.38平方米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倭肯河</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7842300.53平方米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西庙子截流沟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74511.37平方米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向阳山灌区精勤干渠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1165876.27平方米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向阳山灌区梨树干渠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382961.5平方米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向阳山灌区三合干渠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865637.41平方米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向阳山灌区新兴干渠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878951.1平方米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向阳山水库</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25953113.01平方米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新发排干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189426.99平方米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兴中支沟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48567.98平方米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永兴排干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374854.64平方米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张家排干</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49484.58平方米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长青截留沟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74443.39平方米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镇山截流沟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50705.41平方米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桦南县疾病预防控制中心建设项目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桦南县急救中心（站）项目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桦南县传染病医院建设项目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桦南县人民医院传染病区建设项目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桦南县人民医院医疗救治能力建设项目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16265平方米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桦南县妇幼保健计划生育服务中心业务用房建设项目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桦南县桦南镇幸福卫生院污水垃圾处理及业务用房建设项目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桦南派斯菲科单采血浆项目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柳毛河卫生院业务用房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桦南县公共设施改造项目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桦南县人民医院土龙山分院建设项目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桦南县大八浪乡二道沟卫生院污水垃圾处理及业务用房建设项目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桦南县闫家镇公心集卫生院污水垃圾及业务用房建设项目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桦南县梨树乡民主卫生院污水垃圾及业务用房建设项目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1994.7平方米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桦南县土龙山镇庆发卫生院污水垃圾及业务用房建设项目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桦南县明义乡三合卫生院污水垃圾及业务用房建设项目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桦南县孟家岗镇八虎力卫生院污水垃圾及业务用房建设项目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五道岗卫生院业务用房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桦南县奋斗（第三）幼儿园建设项目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桦南县园丁（第四）幼儿园建设项目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街里幼儿园</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桦南县小红花幼儿园建设项目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桦南县闲置校舍和富余教室改建公办幼儿园及幼教培训基地建设项目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桦南县东风小学教师周转房建设项目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2021.5-11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桦南县实验小学综合楼项目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桦南县第五小学国学馆建设项目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桦南县第六小学综合楼项目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桦南县第一中学体育馆建设项目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桦南县第二中学教学楼和运动场建设项目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桦南县第二中学体育馆建设项目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桦南县第四中学综合楼项目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桦南县曙光农场中学足球场地设施建设项目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2024.7-12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5800平方米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桦南县曙光中学体育馆建设项目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桦南县林业局第四中学塑胶跑道及操场建设项目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桦南县林业局四中</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桦南县特殊教育学校办学条件改善项目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2940平方米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桦南县柳毛河镇学校建设项目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桦南县职教中心学前教育专业实训室建设项目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2021.1-2022.10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桦南县五道岗镇学校建设项目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桦南县胜利社区幼儿托育所建设项目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2023.7-2024.12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桦南县胜利社区医养结合服务中心建设项目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2022.7-2023.12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桦南县福庆社区幼儿托育所建设项目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2023.7-2024.12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桦南县福庆社区医养结合服务中心建设项目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2022.7-2023.12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桦南县铁西社区幼儿托育所建设项目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2023.7-2024.12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桦南县铁西社区医养结合服务中心建设项目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桦南县奋斗社区幼儿托育所建设项目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2023.7-2024.12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桦南县奋斗社区医养结合服务中心建设项目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2022.7-2023.12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天伦康养中心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桦南县公办敬老院中心改扩建项目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桦南县驼腰子镇中心卫生院医养结合服务中心建设项目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桦南县孟家岗镇卫生院医养结合服务中心建设项目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桦南县金沙乡卫生院医养结合服务中心建设项目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向阳山水库医养结合养老院项目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桦南县公办敬老院分院改扩建项目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闫家镇医养结合及养老机构</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土龙山镇医养结合及养老机构</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大八浪乡医养结合及养老机构</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桦南县水泥博物馆项目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圆觉寺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25236平方米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桦南县全民健身中心体育馆项目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9130平方米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桦南县铁西社区全民健身中心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2025.5—11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桦南县秀北社区足球场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桦南县铁西社区足球场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桦南县教育社区足球场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桦南县正北社区足球场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桦南县福庆社区足球场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桦南县体育公园建设项目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桦南县龙兴生态园消费聚集区建设项目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333333.33平方米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桦南县桦西湖景区游客集散中心项目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桦南县皮革城旅游小镇项目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53333.33平方米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桦南县烈士陵园改造扩建项目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2024.1-2025.12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桦南县向阳湖风景区游客中心建设项目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桦南县（中国）关药基地特色小镇</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乡镇文化站建设项目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向阳湖家属区特色民俗旅游村</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桦南县富强社区未成年人教育服务中心项目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桦南县残疾人康复中心项目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5650平方米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桦南县残疾人托养服务中心项目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2022.5-2023.10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残疾人康复综合服务中心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桦南县残疾人综合服务实施项目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2023.5-2024.10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桦南县失能照护服务中心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桦南县殡仪馆改造扩建项目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桦南县看守所、拘留所</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45170平方米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桦南县公益性墓地建设项目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桦南县人力资源市场项目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桦南县返乡下乡创业孵化园项目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桦南县退役军人服务中心项目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2022.5-2023.8</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1860平方米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桦南县中心城区社区改造项目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桦南县便民服务中心项目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桦南县富强社区建设项目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桦南县改扩建便民服务站项目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桦南县社区文化中心项目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桦南县综合型社区服务中心项目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桦南县双拥社区改造项目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桦南县奥林社区新增活动中心项目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桦南县新月社区活动中心项目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桦南县静脉产业园项目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桦南县餐厨垃圾处理厂项目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桦南县垃圾焚烧厂项目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桦南县城镇生活垃圾分类及收转运项目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桦南县医疗废物集中处理建设项目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桦南县曙光农场年农村人居环境整治建设工程项目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桦南县农村垃圾治理管理站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2507.6平方米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桦南县医疗废物收转运能力建设项目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2021.7-2022.12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720平方米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桦南县农村生活垃圾综合治理项目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桦南县污水厂中水回用工程项目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2022.5-2023.10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桦南县居民粪污和排水管网污泥处置场项目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桦南县森工林业局污水厂扩容提标工程项目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1万立方米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桦南县曙光农场污水处理厂升级改造项目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4592平方米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桦南县森工林业局污水管网改造工程项目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桦南县森工林业局污水重复利用工程项目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桦南县森工林业局污泥无害化处理工程项目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污泥全部无害化处理</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桦南县闫家镇污水处理站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桦南县梨树乡污水处理站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桦南县五道岗乡污水处理站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桦南县明义乡污水处理站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桦南县驼腰子镇污水处理站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石头河子镇污水处理工程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413.1平方米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孟家岗镇污水处理工程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闫家镇污水处理工程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506平方米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桦南县金沙乡污水处理站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桦南县农村（6个村）生活污水治理工程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乡镇新增生活污水集中处置工程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村屯生活污水集中处理</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桦南县城内旅游景区厕所工程项目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桦南县水冲公厕建设项目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2021.8-2023.12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黑龙江省曙光农场场区道路改造项目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64700平方米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省道同江至汪清公路(S203)桦南至桦勃界段改扩建工程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二级公路，长47.17km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省道佳木斯至桦南公路(S513)佳桦界至桦南段改扩建工程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二级公路，长26.06km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国道鹤岗至大连公路佳木斯至桦南段改扩建工程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一级公路90km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七台河至桦南二级公路建设项目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二级公路长35.8km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桦南县公路客运东站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桦南县经济开发区公共停车场项目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桦南县生态停车场建设项目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46700平方米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桦南县居民社区公共停车场建设项目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2021.8-2025.10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27500平方米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桦南县图佳线K503+407.41-10.0m框构桥项目（马道口过铁及配套工程）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工业园区道路改造及配套工程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新兴路、前进路新建过街天桥</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桦森路新建慢车道</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建材街东段新建跨铁立交桥</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外环路道路改造及配套工程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人行道改造工程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桦南县公共停车场（位）建设项目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192个行政村道路基础设施</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省道同江至汪清公路桦双界至桦南（驼腰子镇）段改扩建工程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国道鹤岗至大连（桦南段）公路改扩建工程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国道鹤岗至大连公路（G201）桦南县绕行过境段新建工程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省道南岔至孟家岗公路（桦南段）改扩建工程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省道佳木斯至桦南公路改扩建工程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省道同江至汪清公路（桦南至桦勃界段）改扩建工程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县级公路升级改造工程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乡级、村级公路改扩建工程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省道、乡道、村道涵改桥工程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桦南客运东站（桦南高铁站配套设施）</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图佳线K494+038道口平改立工程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图佳线K490+995道口平改立工程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图佳线K484+518、图佳线K485+816、图佳线K486+948道口平改立工程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图佳线K481+983道口平改立工程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图佳线K480+442道口平改立工程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交通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马道口下穿工程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黑龙江省佳木斯市桦南县俄气接收站及配套管线项目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2021.5-2024.8</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建设7立方米/s雨水泵站一座</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桦南县城区排水防涝设施建设项目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新建管网36.35km，明渠1.01km，雨水泵站2座</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桦南县主城区排水防涝设施建设项目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2021.6-2023.10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建设管网150m，明渠1450m，移动泵车1台</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桦南县老城区和铁东区排水防涝设施建设项目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2023.6-2025.10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建设明渠2.48km，移动泵车1台</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桦南县学府路易涝区段排水防涝设施建设项目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桦南县新曙光路易涝区段排水防涝设施建设项目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桦南县主城区（沿河街）排水防涝设施建设项目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桦南县主城区（华锐西路）排水防涝设施建设项目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新建雨污管网25.60km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苗圃路、前进路、新兴路新建雨排工程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桦南县道路新建及改造配套雨污分流工程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2023.6-2025.10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前进社区排水管网新建及改造工程建设项目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金科社区排水管网新建及改造工程建设项目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现有增加一倍</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秀北社区排水管网新建及改造工程建设项目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新建2台65吨锅炉</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森工林业局水厂扩容工程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局址老旧小区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森工林业局热源改造工程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森工林业局老旧小区供暖改造工程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黑龙江省曙光农场锅炉脱硫塔及附属设施改造工程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曙光农场自来水厂及管道升级改造工程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热水锅炉及配套辅机、环保设施</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曙光农场给排水管道及小区维修项目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新建75T/热水锅炉及配套辅机、环保设施项目</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桦南县城市南部新建4#锅炉及配套辅机、环保设施项目（备用供热能力）</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2021.10-2023.8</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新建50立方LNG储罐一座</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桦南县协联新建75T/热水锅炉及配套辅机、环保设施项目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供热厂房、燃煤锅炉、供热管网5.6km、改造2.1km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LNG气化站扩建项目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桦南县老街里集中供热改建项目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2528.8平方米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桦南县供水改扩建二期工程项目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桦西湖公园改造</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新兴湿地游园</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致中湿地公园</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透水砖铺装工程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65800平方米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化工园区变电所</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净水厂</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桦南县桦东新城集中供暖管网建设项目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桦南县代餐粉产业园基础设施建设项目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电力</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保卫路、健康路电力下迁工程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桦南县污水厂中水回用工程项目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桦南县居民生活粪污和排水管网污泥处置场项目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桦南县城镇应急供水工程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桦南县2021年南苑新城棚户区改造配套基础设施项目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桦南县2021年棚户区改造配套基础设施项目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2022.05—10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桦南县2022年棚户区改造配套基础设施项目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桦南县2023年棚户区改造配套基础设施项目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2024.5-10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桦南协联报春热电有限公司热网增容项目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桦南中燃城市燃气发展有限公司LNG气化站扩建项目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桦南中燃城市燃气发展有限公司俄气接收站配套次高压管线项目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桦南县坤鹏热力有限公司桦南镇老街里60万区域集中供热工程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桦南县协联一次管网改造工程项目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9.35km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森工林业局供水管网建设工程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局址、山上林场所全覆盖</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环保</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森工林业局雨排系统建设工程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局址全覆盖</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192个行政村边沟围栏项目建设</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民主加油站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2659平方米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八虎力河口内洪林子大桥断面水质自动监测站</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221平方米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桦南县应急指挥中心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7100公顷</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桦南县省级现代农业产业园（黑木耳）</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2021.1-2023.6</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桦南县国家级现代农业产业园（黑木耳）</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2023.7-2024.12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桦南县国家级现代农业产业园（中药材）</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2023.1-2024.12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申报建设黑龙江省紫苏制品质量监督检验中心</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申报建设黑龙江省紫苏制品质量监督检验中心</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桦南食品检测中心建设项目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2021.6-2022.10</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经开区小微企业孵化园</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10个村肉牛养殖场产业项目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生猪养殖场改扩建项目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屠宰场建设项目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年产30万吨饲料加工项目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10100平方米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100万吨粮食储运加工项目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驴生物制品加工项目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紫苏精深加工产业化项目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紫苏调和油生产项目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100万吨玉米淀粉精深加工项目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年产5万吨玉米汁饮料项目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年产3万吨大米休闲食品项目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大豆蛋白冲调饮料生产加工项目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中草药化妆品、保健品生产研发基地建设项目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中草药冷提取深加工项目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南瓜精深加工项目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20万吨南瓜饲料加工项目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黑木耳保健食品深加工项目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黑木耳菌糠肥料生产项目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信得桦南蛋鸡养殖及饲料加工项目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牧原100万头生猪养殖及饲料加工项目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龙源生物科技二期项目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年产10万吨乙烯项目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年产50万吨丙酮项目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年产50万吨醋酸乙酯项目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年产30万吨乙酸项目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年产10万吨乙醚项目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年产5万吨丙酸项目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年产2万吨正丁醇项目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年产5万吨糠醛项目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有机涂料加工项目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有机染料加工项目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有机颜料加工项目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年产1万吨油墨项目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年产3万吨二甲基呋喃项目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年产30万吨燃料乙醇及50万吨DDGS项目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年产20万吨聚乳酸项目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明珠正午物流园建设项目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向阳山全域旅游及康养项目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皮草小镇建设项目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中航农批大市场项目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中药材交易集散中心项目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国家级代餐粉现代农业产业园建设项目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500万吨现代物流产业园区建设项目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森林蒸汽观光小火车开发项目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27300平方米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现代农业生态休闲观光园建设项目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804666.67平方米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自驾车营地建设项目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大数据计算中心项目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66666.67平方米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云计算智慧农业产业园建设项目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333333.33平方米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采煤掘进机生产项目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俄罗斯进口LNG仓储基地建设项目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风电装备综合产业基地建设项目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244666.67平方米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100MW风电清洁供暖项目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30万平米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石墨烯电池生产项目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2.2万平方米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大唐桦南长宏500MW风电平价上网项目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桦南融核金沙风电场项目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龙源桦南公心集200MW风电项目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龙源桦南公心集200MW风电项目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桦南梨树风电项目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龙源桦南曙光100MW风电项目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龙源桦南驼腰子100MW风电项目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华创新能源孟林750MW风电场项目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天下环能桦南县450MW风电项目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桦南县盛华源能源科技200mw平价上网风电项目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山东翔润W桦南县300MW集中式风力发电项目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佳木斯旭宏(桦南县）300兆瓦风电场项目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佳木斯桦南县150MW风电项目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国瑞能源桦南风电场一期工程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桦南县翔润平价光伏项目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桦南县乡电生物质热电联产项目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桦南县土龙山镇生物质气化发电项目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能源</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桦南县驼腰子镇生物质气化发电项目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年产100万套餐具项目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年产30万吨生物饲料项目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年产80万套秸杆模具项目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生物有机肥生产项目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新型墙体材料项目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枫林木业实木家具生产项目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秸秆综合利用项目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植物“三素分离”生态利用项目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人造大理石加工项目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植物秸秆密度板加工项目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桦南县动物产品冷链运输项目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桦南县客运总站国运物流配送园项目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2021.6-2022.12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29200平方米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小区快递超市更新改造项目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110个</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小区智能包裹柜设施建设项目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110个</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黑龙江省佳木斯市桦南县乡镇货运站（9个）项目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桦南县新建综合屠宰厂项目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2021.5-2022.12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桦南县新华菜市场改造项目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桦南县白瓜子交易市场改造项目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保卫路-文教路菜市场改造项目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桦南县金晖广场生鲜超市项目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3152平方米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桦南农贸市场</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20822.9平方米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桦南县乡镇农贸市场（9个）项目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幸福河城区段综合整治工程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6.78公里</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桦南县倭肯河铁西段治理工程（一期）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12.16km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桦南县向阳山灌区（大型）续建配套与现代化改造工程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桦南县向阳山水库水源地生态修复治理（一期）工程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1平方公里</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桦南县森林防火指挥中心建设项目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桦南县八虎力河驼腰子段二期治理工程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桦南县闫家镇闫家侵蚀沟二期综合治理工程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桦南县向阳山灌区骨干工程续建配套与节水改造工程建设项目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35666666.67平方米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桦南县复兴沟治理工程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修建护岸4.7km，沟道疏浚19km</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桦南县小八虎力河右岸治理工程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新建堤防长度8.5公里</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桦南县向阳湖水库生态恢复综合治理工程项目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桦南县倭肯治理工程（二期）项目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加高培厚堤防总长30.179千米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桦南县山洪沟治理工程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桦南县明义项目区侵蚀沟综合治理工程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20.4平方千米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桦南县双鸭子小流域综合治理工程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20.15平方千米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桦南县共和水库除险加固工程项目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桦南县共和水库除险加固工程项目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桦南县病险水闸除险加固工程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桦南县大鲜渠首改造工程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桦南县八一水库灌区配套与节水改造工程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6.95万亩</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桦南县七虎力中型灌区配套与节水改造工程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新增水田面积2 .2万亩,改善灌溉面积3.8万亩。</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桦南县金沙灌区续建配套与节水改造工程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9933333.33平方米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桦南县团结水库灌区续建配套与节水改造工程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桦南县共和灌区配套与节水改造工程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桦南县向阳山水库除险加固工程(Ⅱ期）</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桦南县引八济向工程项目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生态</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桦南县四大洼子涝区治理工程</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水利</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桦南县寒虫沟水库项目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152.86万立方米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桦南县农村人居环境建设项目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2021-2015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桦南县石头河子镇派出所业务用房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桦南县梨树乡派出所业务用房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桦南县金沙乡派出所业务用房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桦南县孟家岗镇派出所业务用房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1125平方米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桦南县交警、巡特警业务用房</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9650平方米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桦南县司法局梨树乡司法所建设项目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桦南县司法局石头河子镇司法所建设项目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桦南县职教中心生物乙醇化工专业实验室及实训基地建设项目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桦南县第一中学教学楼和运动场建设项目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桦南县金科社区足球场建设项目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桦南县祁致中大街项目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410</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桦南县土龙山抗战遗址建设项目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411</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桦南县明义乡明义村提升改造“旅游村”项目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412</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桦南县明义金达莱花山旅游基础设施项目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413</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旅游</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桦南县七星峰抗联遗址保护项目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414</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其他</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园区停车库</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100000平方米</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415</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桦南县2021年老旧小区改造项目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2021-2021</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36个小区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416</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桦南县2022年老旧小区改造项目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2022-2022</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37个小区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417</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桦南县2023年老旧小区改造项目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2023-2023</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22个小区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418</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桦南县2024年老旧小区改造项目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2024-2024</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9个小区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6"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419</w:t>
            </w:r>
          </w:p>
        </w:tc>
        <w:tc>
          <w:tcPr>
            <w:tcW w:w="1339"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民生</w:t>
            </w:r>
          </w:p>
        </w:tc>
        <w:tc>
          <w:tcPr>
            <w:tcW w:w="513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桦南县2025年老旧小区改造项目</w:t>
            </w:r>
          </w:p>
        </w:tc>
        <w:tc>
          <w:tcPr>
            <w:tcW w:w="1038"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改扩建</w:t>
            </w:r>
          </w:p>
        </w:tc>
        <w:tc>
          <w:tcPr>
            <w:tcW w:w="134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2025-2025</w:t>
            </w:r>
          </w:p>
        </w:tc>
        <w:tc>
          <w:tcPr>
            <w:tcW w:w="3505"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6个小区</w:t>
            </w:r>
          </w:p>
        </w:tc>
        <w:tc>
          <w:tcPr>
            <w:tcW w:w="1020" w:type="dxa"/>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桦南县</w:t>
            </w:r>
          </w:p>
        </w:tc>
      </w:tr>
    </w:tbl>
    <w:p>
      <w:pPr>
        <w:pageBreakBefore w:val="0"/>
        <w:kinsoku/>
        <w:wordWrap/>
        <w:overflowPunct/>
        <w:topLinePunct w:val="0"/>
        <w:bidi w:val="0"/>
        <w:snapToGrid/>
        <w:spacing w:line="240" w:lineRule="auto"/>
        <w:ind w:firstLine="0" w:firstLineChars="0"/>
        <w:outlineLvl w:val="9"/>
        <w:rPr>
          <w:rFonts w:hint="default" w:ascii="仿宋_GB2312" w:hAnsi="Times New Roman" w:eastAsia="仿宋_GB2312" w:cs="Times New Roman"/>
          <w:sz w:val="24"/>
          <w:szCs w:val="24"/>
        </w:rPr>
      </w:pPr>
      <w:r>
        <w:rPr>
          <w:rFonts w:hint="eastAsia" w:ascii="仿宋_GB2312" w:hAnsi="等线" w:eastAsia="仿宋_GB2312" w:cs="楷体"/>
          <w:kern w:val="0"/>
          <w:sz w:val="24"/>
          <w:szCs w:val="24"/>
        </w:rPr>
        <w:t>备注：重点建设项目建设性质应标明新建、改建、扩建等；道路项目应标明起讫点。</w:t>
      </w:r>
    </w:p>
    <w:p>
      <w:pPr>
        <w:pageBreakBefore w:val="0"/>
        <w:widowControl/>
        <w:kinsoku/>
        <w:wordWrap/>
        <w:overflowPunct/>
        <w:topLinePunct w:val="0"/>
        <w:bidi w:val="0"/>
        <w:snapToGrid/>
        <w:spacing w:line="240" w:lineRule="auto"/>
        <w:ind w:firstLine="0" w:firstLineChars="0"/>
        <w:jc w:val="left"/>
        <w:outlineLvl w:val="9"/>
        <w:rPr>
          <w:rFonts w:hint="default" w:ascii="仿宋_GB2312" w:hAnsi="Times New Roman" w:eastAsia="仿宋_GB2312" w:cs="Times New Roman"/>
          <w:sz w:val="24"/>
          <w:szCs w:val="24"/>
        </w:rPr>
      </w:pPr>
      <w:r>
        <w:rPr>
          <w:rFonts w:hint="default" w:ascii="仿宋_GB2312" w:hAnsi="Times New Roman" w:eastAsia="仿宋_GB2312" w:cs="Times New Roman"/>
          <w:sz w:val="24"/>
          <w:szCs w:val="24"/>
        </w:rPr>
        <w:br w:type="page"/>
      </w:r>
    </w:p>
    <w:p>
      <w:pPr>
        <w:keepNext/>
        <w:keepLines/>
        <w:pageBreakBefore w:val="0"/>
        <w:widowControl w:val="0"/>
        <w:kinsoku/>
        <w:wordWrap/>
        <w:overflowPunct/>
        <w:topLinePunct w:val="0"/>
        <w:bidi w:val="0"/>
        <w:snapToGrid/>
        <w:spacing w:line="240" w:lineRule="auto"/>
        <w:ind w:firstLine="0" w:firstLineChars="0"/>
        <w:jc w:val="center"/>
        <w:outlineLvl w:val="9"/>
        <w:rPr>
          <w:rFonts w:hint="default" w:ascii="仿宋_GB2312" w:hAnsi="仿宋_GB2312" w:eastAsia="仿宋_GB2312" w:cs="仿宋_GB2312"/>
          <w:b w:val="0"/>
          <w:bCs w:val="0"/>
          <w:kern w:val="2"/>
          <w:sz w:val="28"/>
          <w:szCs w:val="28"/>
          <w:lang w:val="en-US" w:eastAsia="zh-CN" w:bidi="ar-SA"/>
        </w:rPr>
      </w:pPr>
      <w:bookmarkStart w:id="175" w:name="_Toc69487195"/>
      <w:bookmarkStart w:id="176" w:name="_Toc73634238"/>
      <w:bookmarkStart w:id="177" w:name="_Toc73641187"/>
      <w:bookmarkStart w:id="178" w:name="_Toc71359872"/>
      <w:r>
        <w:rPr>
          <w:rFonts w:hint="eastAsia" w:ascii="仿宋_GB2312" w:hAnsi="仿宋_GB2312" w:eastAsia="仿宋_GB2312" w:cs="仿宋_GB2312"/>
          <w:b w:val="0"/>
          <w:bCs w:val="0"/>
          <w:kern w:val="2"/>
          <w:sz w:val="28"/>
          <w:szCs w:val="28"/>
          <w:lang w:val="en-US" w:eastAsia="zh-CN" w:bidi="ar-SA"/>
        </w:rPr>
        <w:t xml:space="preserve">                         表16生态修复和国土综合整治重大工程安排表</w:t>
      </w:r>
      <w:bookmarkEnd w:id="175"/>
      <w:bookmarkEnd w:id="176"/>
      <w:bookmarkEnd w:id="177"/>
      <w:bookmarkEnd w:id="178"/>
      <w:r>
        <w:rPr>
          <w:rFonts w:hint="eastAsia" w:ascii="仿宋_GB2312" w:hAnsi="仿宋_GB2312" w:eastAsia="仿宋_GB2312" w:cs="仿宋_GB2312"/>
          <w:b w:val="0"/>
          <w:bCs w:val="0"/>
          <w:kern w:val="2"/>
          <w:sz w:val="28"/>
          <w:szCs w:val="28"/>
          <w:lang w:val="en-US" w:eastAsia="zh-CN" w:bidi="ar-SA"/>
        </w:rPr>
        <w:t xml:space="preserve">                   单位（平方米）</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707"/>
        <w:gridCol w:w="788"/>
        <w:gridCol w:w="4613"/>
        <w:gridCol w:w="667"/>
        <w:gridCol w:w="1476"/>
        <w:gridCol w:w="421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工程名称</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工程类型</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重点任务</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实施区域</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建设规模</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主要技术指标</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建设时序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八虎力河山水项目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山水林田湖草系统修复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该区块以农田为主，地势相对平坦，工矿业不发达，初步统计有矿山4处，前些年存在少量的毁林造田现象，故需要对1处矿山做地质环境修复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生态修复过渡区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811366448.43</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除需做地质环境修复外，都以自然修复为主，尽量减少人为工程干预</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八虎力河山水项目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山水林田湖草系统修复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按照国家生态红线内的管理要求执行</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生态自然保护区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147237569.05</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按照国家生态红线内的管理要求执行，无生态修复防治工程，科普、监测工作外，工程不许进入，已有但不符合现有政策的项目要有序退出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八虎力河山水项目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山水林田湖草系统修复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湖库水体生态修复，湿地生态环境恢复，国土绿化与生态格局优化建设，水土流失防治，山体生态保护修复，土地整治，农村面源和城乡点源污染源治理及人居环境改善，生物多样性保护，景观提升及历史遗迹保护基础设施建设</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生态修复治理区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147237569.05</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矿山修复与森林质量提升，水土流失流失、生态清淤与湿地生态环境恢复，土地整治与城乡污染治理</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共和水库山水项目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山水林田湖草系统修复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保护共和水库流域水源涵养功能、改善水环境质量；周边矿山环境得到根本性整治修复；城镇生活污水得到有效治理，农业面源污染减少，人居环境得到改善；水土流失得到进一步控制，生物多样性显著提高</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生态修复治理区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29161727.96</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矿山修复与森林质量提升，水土流失流失、生态清淤与湿地生态环境恢复，土地整治与城乡污染治理</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共和水库山水项目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该区块以农田为主，地势相对平坦，工矿业不发达，初步统计有矿山4处，前些年存在少量的毁林造田现象，故需要对4处矿山做地质环境修复</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生态修复过渡区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78007422.47</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除需做地质按照国家生态红线内的管理要求执行，无生态修复防治工程，科普、监测工作外，工程不许进入，已有但不符合现有政策的项目要有序退出环境修复外，都以自然修复为主，尽量减少人为工程干预</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共和水库山水项目</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按照国家生态红线内的管理要求执行</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生态自然恢复区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26047929.77</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按照国家生态红线内的管理要求执行，无生态修复防治工程，科普、监测工作外，工程不许进入，已有但不符合现有政策的项目要有序退出</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c>
          <w:tcPr>
            <w:tcW w:w="0" w:type="auto"/>
            <w:noWrap w:val="0"/>
            <w:vAlign w:val="center"/>
          </w:tcPr>
          <w:p>
            <w:pPr>
              <w:pageBreakBefore w:val="0"/>
              <w:kinsoku/>
              <w:wordWrap/>
              <w:overflowPunct/>
              <w:topLinePunct w:val="0"/>
              <w:bidi w:val="0"/>
              <w:snapToGrid/>
              <w:spacing w:line="240" w:lineRule="auto"/>
              <w:ind w:firstLine="0" w:firstLineChars="0"/>
              <w:jc w:val="center"/>
              <w:outlineLvl w:val="9"/>
              <w:rPr>
                <w:rFonts w:hint="eastAsia" w:ascii="宋体" w:hAnsi="宋体" w:eastAsia="宋体" w:cs="宋体"/>
                <w:sz w:val="21"/>
                <w:szCs w:val="21"/>
                <w:lang w:val="en-US" w:eastAsia="zh-CN"/>
              </w:rPr>
            </w:pPr>
          </w:p>
        </w:tc>
      </w:tr>
    </w:tbl>
    <w:p>
      <w:pPr>
        <w:pageBreakBefore w:val="0"/>
        <w:kinsoku/>
        <w:wordWrap/>
        <w:overflowPunct/>
        <w:topLinePunct w:val="0"/>
        <w:bidi w:val="0"/>
        <w:snapToGrid/>
        <w:spacing w:line="240" w:lineRule="auto"/>
        <w:ind w:firstLine="0" w:firstLineChars="0"/>
        <w:outlineLvl w:val="9"/>
        <w:rPr>
          <w:rFonts w:hint="default" w:ascii="Calibri" w:hAnsi="Calibri" w:cs="Times New Roman"/>
          <w:sz w:val="21"/>
          <w:szCs w:val="24"/>
        </w:rPr>
      </w:pPr>
      <w:r>
        <w:rPr>
          <w:rFonts w:hint="eastAsia" w:ascii="Times New Roman" w:hAnsi="Times New Roman" w:eastAsia="仿宋_GB2312" w:cs="Times New Roman"/>
          <w:sz w:val="28"/>
          <w:szCs w:val="22"/>
        </w:rPr>
        <w:t>备注：工程类型为山水林田湖草系统修复、国土综合整治、矿山生态修复、湿地与水域生态修复等。</w:t>
      </w:r>
    </w:p>
    <w:p>
      <w:pPr>
        <w:pStyle w:val="2"/>
        <w:rPr>
          <w:rFonts w:hint="eastAsia"/>
          <w:lang w:val="en-US" w:eastAsia="zh-CN"/>
        </w:rPr>
      </w:pPr>
    </w:p>
    <w:sectPr>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2442845</wp:posOffset>
              </wp:positionH>
              <wp:positionV relativeFrom="paragraph">
                <wp:posOffset>-13970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0"/>
                              <w:szCs w:val="20"/>
                            </w:rPr>
                            <w:id w:val="-207571753"/>
                            <w:docPartObj>
                              <w:docPartGallery w:val="autotext"/>
                            </w:docPartObj>
                          </w:sdtPr>
                          <w:sdtEndPr>
                            <w:rPr>
                              <w:rFonts w:hint="default" w:ascii="Times New Roman" w:hAnsi="Times New Roman" w:cs="Times New Roman"/>
                              <w:sz w:val="20"/>
                              <w:szCs w:val="20"/>
                            </w:rPr>
                          </w:sdtEndPr>
                          <w:sdtContent>
                            <w:p>
                              <w:pPr>
                                <w:pStyle w:val="17"/>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PAGE   \* MERGEFORMAT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lang w:val="zh-CN"/>
                                </w:rPr>
                                <w:t>2</w:t>
                              </w:r>
                              <w:r>
                                <w:rPr>
                                  <w:rFonts w:hint="default" w:ascii="Times New Roman" w:hAnsi="Times New Roman" w:cs="Times New Roman"/>
                                  <w:sz w:val="20"/>
                                  <w:szCs w:val="20"/>
                                </w:rPr>
                                <w:fldChar w:fldCharType="end"/>
                              </w:r>
                            </w:p>
                          </w:sdtContent>
                        </w:sdt>
                        <w:p>
                          <w:pPr>
                            <w:rPr>
                              <w:sz w:val="20"/>
                              <w:szCs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35pt;margin-top:-1.1pt;height:144pt;width:144pt;mso-position-horizontal-relative:margin;mso-wrap-style:none;z-index:251659264;mso-width-relative:page;mso-height-relative:page;" filled="f" stroked="f" coordsize="21600,21600" o:gfxdata="UEsDBAoAAAAAAIdO4kAAAAAAAAAAAAAAAAAEAAAAZHJzL1BLAwQUAAAACACHTuJAFmLZ1NgAAAAK&#10;AQAADwAAAGRycy9kb3ducmV2LnhtbE2Py07DMBBF90j8gzVI7FqnbmmjkEklKsISiYYFSzcekoAf&#10;ke2m4e8xK7qcmaM755b72Wg2kQ+DswirZQaMbOvUYDuE96Ze5MBClFZJ7Swh/FCAfXV7U8pCuYt9&#10;o+kYO5ZCbCgkQh/jWHAe2p6MDEs3kk23T+eNjGn0HVdeXlK40Vxk2ZYbOdj0oZcjHXpqv49ng3Co&#10;m8ZPFLz+oJd6/fX6tKHnGfH+bpU9Aos0x38Y/vSTOlTJ6eTOVgWmEdb5ZpdQhIUQwBKw3Ym0OCGI&#10;/CEHXpX8ukL1C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Zi2dT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sdt>
                    <w:sdtPr>
                      <w:rPr>
                        <w:sz w:val="20"/>
                        <w:szCs w:val="20"/>
                      </w:rPr>
                      <w:id w:val="-207571753"/>
                      <w:docPartObj>
                        <w:docPartGallery w:val="autotext"/>
                      </w:docPartObj>
                    </w:sdtPr>
                    <w:sdtEndPr>
                      <w:rPr>
                        <w:rFonts w:hint="default" w:ascii="Times New Roman" w:hAnsi="Times New Roman" w:cs="Times New Roman"/>
                        <w:sz w:val="20"/>
                        <w:szCs w:val="20"/>
                      </w:rPr>
                    </w:sdtEndPr>
                    <w:sdtContent>
                      <w:p>
                        <w:pPr>
                          <w:pStyle w:val="17"/>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PAGE   \* MERGEFORMAT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lang w:val="zh-CN"/>
                          </w:rPr>
                          <w:t>2</w:t>
                        </w:r>
                        <w:r>
                          <w:rPr>
                            <w:rFonts w:hint="default" w:ascii="Times New Roman" w:hAnsi="Times New Roman" w:cs="Times New Roman"/>
                            <w:sz w:val="20"/>
                            <w:szCs w:val="20"/>
                          </w:rPr>
                          <w:fldChar w:fldCharType="end"/>
                        </w:r>
                      </w:p>
                    </w:sdtContent>
                  </w:sdt>
                  <w:p>
                    <w:pPr>
                      <w:rPr>
                        <w:sz w:val="20"/>
                        <w:szCs w:val="20"/>
                      </w:rPr>
                    </w:pP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71753"/>
      <w:docPartObj>
        <w:docPartGallery w:val="autotext"/>
      </w:docPartObj>
    </w:sdtPr>
    <w:sdtEndPr>
      <w:rPr>
        <w:rFonts w:hint="default" w:ascii="Times New Roman" w:hAnsi="Times New Roman" w:cs="Times New Roman"/>
        <w:sz w:val="20"/>
        <w:szCs w:val="20"/>
      </w:rPr>
    </w:sdtEndPr>
    <w:sdtContent>
      <w:p>
        <w:pPr>
          <w:pStyle w:val="17"/>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PAGE   \* MERGEFORMAT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lang w:val="zh-CN"/>
          </w:rPr>
          <w:t>2</w:t>
        </w:r>
        <w:r>
          <w:rPr>
            <w:rFonts w:hint="default" w:ascii="Times New Roman" w:hAnsi="Times New Roman" w:cs="Times New Roman"/>
            <w:sz w:val="20"/>
            <w:szCs w:val="20"/>
          </w:rPr>
          <w:fldChar w:fldCharType="end"/>
        </w:r>
      </w:p>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35211"/>
    <w:multiLevelType w:val="multilevel"/>
    <w:tmpl w:val="7913521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8"/>
    <w:rsid w:val="00005572"/>
    <w:rsid w:val="0000627F"/>
    <w:rsid w:val="00010C00"/>
    <w:rsid w:val="0001107B"/>
    <w:rsid w:val="00011325"/>
    <w:rsid w:val="00015CC0"/>
    <w:rsid w:val="00016C57"/>
    <w:rsid w:val="0001757D"/>
    <w:rsid w:val="000219A5"/>
    <w:rsid w:val="00021D20"/>
    <w:rsid w:val="00022E74"/>
    <w:rsid w:val="000232E4"/>
    <w:rsid w:val="00023D7A"/>
    <w:rsid w:val="00027215"/>
    <w:rsid w:val="0002771A"/>
    <w:rsid w:val="00035C4D"/>
    <w:rsid w:val="0004049B"/>
    <w:rsid w:val="000426F9"/>
    <w:rsid w:val="0004417E"/>
    <w:rsid w:val="00044237"/>
    <w:rsid w:val="0005304F"/>
    <w:rsid w:val="000535EF"/>
    <w:rsid w:val="00053D61"/>
    <w:rsid w:val="00054C15"/>
    <w:rsid w:val="00054CCC"/>
    <w:rsid w:val="000609B5"/>
    <w:rsid w:val="00063821"/>
    <w:rsid w:val="000657CB"/>
    <w:rsid w:val="000774FC"/>
    <w:rsid w:val="0007753A"/>
    <w:rsid w:val="00077631"/>
    <w:rsid w:val="00080F6F"/>
    <w:rsid w:val="000817DD"/>
    <w:rsid w:val="0008458F"/>
    <w:rsid w:val="000912B0"/>
    <w:rsid w:val="000949D9"/>
    <w:rsid w:val="00094E27"/>
    <w:rsid w:val="0009524C"/>
    <w:rsid w:val="00095C33"/>
    <w:rsid w:val="00096803"/>
    <w:rsid w:val="0009709E"/>
    <w:rsid w:val="00097C75"/>
    <w:rsid w:val="000A18D8"/>
    <w:rsid w:val="000A4BC7"/>
    <w:rsid w:val="000A5C75"/>
    <w:rsid w:val="000C13D6"/>
    <w:rsid w:val="000C3F82"/>
    <w:rsid w:val="000C3FFB"/>
    <w:rsid w:val="000C4A09"/>
    <w:rsid w:val="000C7ACD"/>
    <w:rsid w:val="000D0F1F"/>
    <w:rsid w:val="000D1457"/>
    <w:rsid w:val="000D3D69"/>
    <w:rsid w:val="000D4D12"/>
    <w:rsid w:val="000D5C92"/>
    <w:rsid w:val="000D72DF"/>
    <w:rsid w:val="000E354C"/>
    <w:rsid w:val="000E60A0"/>
    <w:rsid w:val="000F0A34"/>
    <w:rsid w:val="000F14D5"/>
    <w:rsid w:val="00101D87"/>
    <w:rsid w:val="00114523"/>
    <w:rsid w:val="00116755"/>
    <w:rsid w:val="00117C2A"/>
    <w:rsid w:val="00126809"/>
    <w:rsid w:val="0013123D"/>
    <w:rsid w:val="00141012"/>
    <w:rsid w:val="001504F1"/>
    <w:rsid w:val="001514C1"/>
    <w:rsid w:val="00151A3C"/>
    <w:rsid w:val="0015455B"/>
    <w:rsid w:val="00160A30"/>
    <w:rsid w:val="00161132"/>
    <w:rsid w:val="00162B18"/>
    <w:rsid w:val="00165298"/>
    <w:rsid w:val="00172E05"/>
    <w:rsid w:val="001751FF"/>
    <w:rsid w:val="0017546D"/>
    <w:rsid w:val="00176567"/>
    <w:rsid w:val="001844CA"/>
    <w:rsid w:val="001845E2"/>
    <w:rsid w:val="00185211"/>
    <w:rsid w:val="0018748A"/>
    <w:rsid w:val="00193139"/>
    <w:rsid w:val="00193FF7"/>
    <w:rsid w:val="001952D1"/>
    <w:rsid w:val="001B103B"/>
    <w:rsid w:val="001B193F"/>
    <w:rsid w:val="001B401C"/>
    <w:rsid w:val="001B461F"/>
    <w:rsid w:val="001B6601"/>
    <w:rsid w:val="001C3350"/>
    <w:rsid w:val="001C4423"/>
    <w:rsid w:val="001C5AC0"/>
    <w:rsid w:val="001C6EBA"/>
    <w:rsid w:val="001D0776"/>
    <w:rsid w:val="001D1053"/>
    <w:rsid w:val="001D21C3"/>
    <w:rsid w:val="001D3CEF"/>
    <w:rsid w:val="001D68C6"/>
    <w:rsid w:val="001D6D28"/>
    <w:rsid w:val="001E0407"/>
    <w:rsid w:val="001E53D2"/>
    <w:rsid w:val="001E711F"/>
    <w:rsid w:val="002002D4"/>
    <w:rsid w:val="00201F66"/>
    <w:rsid w:val="00203C0B"/>
    <w:rsid w:val="00204BA6"/>
    <w:rsid w:val="002056B7"/>
    <w:rsid w:val="00211332"/>
    <w:rsid w:val="00211EED"/>
    <w:rsid w:val="00225E6A"/>
    <w:rsid w:val="002334E6"/>
    <w:rsid w:val="002339AF"/>
    <w:rsid w:val="00234868"/>
    <w:rsid w:val="00234C30"/>
    <w:rsid w:val="00236C9A"/>
    <w:rsid w:val="00237048"/>
    <w:rsid w:val="00244963"/>
    <w:rsid w:val="00244E19"/>
    <w:rsid w:val="00245ED3"/>
    <w:rsid w:val="002460C2"/>
    <w:rsid w:val="00246A0A"/>
    <w:rsid w:val="00252E23"/>
    <w:rsid w:val="0026174A"/>
    <w:rsid w:val="002677DB"/>
    <w:rsid w:val="002821E5"/>
    <w:rsid w:val="00282335"/>
    <w:rsid w:val="00282676"/>
    <w:rsid w:val="002846BF"/>
    <w:rsid w:val="00287B2E"/>
    <w:rsid w:val="00290CE5"/>
    <w:rsid w:val="00292A31"/>
    <w:rsid w:val="00295A8F"/>
    <w:rsid w:val="002A1EA0"/>
    <w:rsid w:val="002A5502"/>
    <w:rsid w:val="002A6268"/>
    <w:rsid w:val="002A7413"/>
    <w:rsid w:val="002B0521"/>
    <w:rsid w:val="002B0DB0"/>
    <w:rsid w:val="002B34AB"/>
    <w:rsid w:val="002B61C0"/>
    <w:rsid w:val="002C117F"/>
    <w:rsid w:val="002C2CD8"/>
    <w:rsid w:val="002C7C94"/>
    <w:rsid w:val="002D41A2"/>
    <w:rsid w:val="002D6889"/>
    <w:rsid w:val="002E077A"/>
    <w:rsid w:val="002E5DF0"/>
    <w:rsid w:val="002E7571"/>
    <w:rsid w:val="002E7E8A"/>
    <w:rsid w:val="002F0B1B"/>
    <w:rsid w:val="002F526F"/>
    <w:rsid w:val="002F5D5F"/>
    <w:rsid w:val="002F722F"/>
    <w:rsid w:val="0030024B"/>
    <w:rsid w:val="003017E3"/>
    <w:rsid w:val="00303AE5"/>
    <w:rsid w:val="0031115A"/>
    <w:rsid w:val="003232A7"/>
    <w:rsid w:val="00323F5E"/>
    <w:rsid w:val="003240AA"/>
    <w:rsid w:val="00325800"/>
    <w:rsid w:val="00330BCC"/>
    <w:rsid w:val="00330FD5"/>
    <w:rsid w:val="00331E21"/>
    <w:rsid w:val="00334333"/>
    <w:rsid w:val="003372BD"/>
    <w:rsid w:val="003410EE"/>
    <w:rsid w:val="003412AE"/>
    <w:rsid w:val="0034620D"/>
    <w:rsid w:val="00346DA6"/>
    <w:rsid w:val="00347457"/>
    <w:rsid w:val="003568F7"/>
    <w:rsid w:val="0036324A"/>
    <w:rsid w:val="00372BB6"/>
    <w:rsid w:val="00375CF0"/>
    <w:rsid w:val="0038144B"/>
    <w:rsid w:val="003860C7"/>
    <w:rsid w:val="003946E3"/>
    <w:rsid w:val="00396BE4"/>
    <w:rsid w:val="003A013D"/>
    <w:rsid w:val="003A04AF"/>
    <w:rsid w:val="003A4704"/>
    <w:rsid w:val="003A5D5E"/>
    <w:rsid w:val="003B4564"/>
    <w:rsid w:val="003C13BE"/>
    <w:rsid w:val="003C38C7"/>
    <w:rsid w:val="003C4BFC"/>
    <w:rsid w:val="003D352F"/>
    <w:rsid w:val="003D46E5"/>
    <w:rsid w:val="003E05C3"/>
    <w:rsid w:val="003E5F10"/>
    <w:rsid w:val="003E60EA"/>
    <w:rsid w:val="003E6237"/>
    <w:rsid w:val="003E718D"/>
    <w:rsid w:val="003F2093"/>
    <w:rsid w:val="003F3669"/>
    <w:rsid w:val="00400925"/>
    <w:rsid w:val="00402E4D"/>
    <w:rsid w:val="004065B7"/>
    <w:rsid w:val="004124E9"/>
    <w:rsid w:val="004156BB"/>
    <w:rsid w:val="004201F5"/>
    <w:rsid w:val="0042277A"/>
    <w:rsid w:val="00425559"/>
    <w:rsid w:val="0043192B"/>
    <w:rsid w:val="00434EE2"/>
    <w:rsid w:val="004368F5"/>
    <w:rsid w:val="00443818"/>
    <w:rsid w:val="00447781"/>
    <w:rsid w:val="00450891"/>
    <w:rsid w:val="00455E8B"/>
    <w:rsid w:val="00457D56"/>
    <w:rsid w:val="00461BED"/>
    <w:rsid w:val="00461FDC"/>
    <w:rsid w:val="00464EBF"/>
    <w:rsid w:val="004652D5"/>
    <w:rsid w:val="004667BC"/>
    <w:rsid w:val="00474C3B"/>
    <w:rsid w:val="00476DAD"/>
    <w:rsid w:val="00477B9C"/>
    <w:rsid w:val="00481D12"/>
    <w:rsid w:val="004833D7"/>
    <w:rsid w:val="00484351"/>
    <w:rsid w:val="00495DF3"/>
    <w:rsid w:val="00496D3A"/>
    <w:rsid w:val="00497A1D"/>
    <w:rsid w:val="004A0FCD"/>
    <w:rsid w:val="004A38FD"/>
    <w:rsid w:val="004A67B3"/>
    <w:rsid w:val="004A6D57"/>
    <w:rsid w:val="004A71B8"/>
    <w:rsid w:val="004B619C"/>
    <w:rsid w:val="004D0C54"/>
    <w:rsid w:val="004D2846"/>
    <w:rsid w:val="004D76E7"/>
    <w:rsid w:val="004E4230"/>
    <w:rsid w:val="004E4E27"/>
    <w:rsid w:val="004E553A"/>
    <w:rsid w:val="004E76BA"/>
    <w:rsid w:val="004E7871"/>
    <w:rsid w:val="00504D44"/>
    <w:rsid w:val="00512EBC"/>
    <w:rsid w:val="00513652"/>
    <w:rsid w:val="00514290"/>
    <w:rsid w:val="00514A2D"/>
    <w:rsid w:val="005150E2"/>
    <w:rsid w:val="00515B7F"/>
    <w:rsid w:val="00517940"/>
    <w:rsid w:val="0052559F"/>
    <w:rsid w:val="00525E0E"/>
    <w:rsid w:val="00526C85"/>
    <w:rsid w:val="005322E2"/>
    <w:rsid w:val="00532D59"/>
    <w:rsid w:val="00536A6E"/>
    <w:rsid w:val="00541006"/>
    <w:rsid w:val="00543737"/>
    <w:rsid w:val="00543E16"/>
    <w:rsid w:val="005565A4"/>
    <w:rsid w:val="00556B0D"/>
    <w:rsid w:val="0056057B"/>
    <w:rsid w:val="005653DD"/>
    <w:rsid w:val="0056649A"/>
    <w:rsid w:val="005730ED"/>
    <w:rsid w:val="005763C1"/>
    <w:rsid w:val="00577A91"/>
    <w:rsid w:val="00577C21"/>
    <w:rsid w:val="00580DAA"/>
    <w:rsid w:val="005814B7"/>
    <w:rsid w:val="00583AFC"/>
    <w:rsid w:val="00583E04"/>
    <w:rsid w:val="005854A2"/>
    <w:rsid w:val="00587512"/>
    <w:rsid w:val="00587B1F"/>
    <w:rsid w:val="00592AC5"/>
    <w:rsid w:val="00594CEA"/>
    <w:rsid w:val="005A0162"/>
    <w:rsid w:val="005A3562"/>
    <w:rsid w:val="005A42DB"/>
    <w:rsid w:val="005A52BB"/>
    <w:rsid w:val="005B098E"/>
    <w:rsid w:val="005B298D"/>
    <w:rsid w:val="005D5284"/>
    <w:rsid w:val="005E016F"/>
    <w:rsid w:val="005E3285"/>
    <w:rsid w:val="005F3174"/>
    <w:rsid w:val="005F5BB4"/>
    <w:rsid w:val="005F66E3"/>
    <w:rsid w:val="005F7B99"/>
    <w:rsid w:val="0060450F"/>
    <w:rsid w:val="00605069"/>
    <w:rsid w:val="00606BE8"/>
    <w:rsid w:val="006114A5"/>
    <w:rsid w:val="006132B3"/>
    <w:rsid w:val="00613902"/>
    <w:rsid w:val="006155A2"/>
    <w:rsid w:val="0062268C"/>
    <w:rsid w:val="006229DC"/>
    <w:rsid w:val="006235CC"/>
    <w:rsid w:val="0062537E"/>
    <w:rsid w:val="00630DCD"/>
    <w:rsid w:val="00635B59"/>
    <w:rsid w:val="00641D7F"/>
    <w:rsid w:val="00642072"/>
    <w:rsid w:val="006430E8"/>
    <w:rsid w:val="006459AB"/>
    <w:rsid w:val="006478A1"/>
    <w:rsid w:val="00653691"/>
    <w:rsid w:val="006606D7"/>
    <w:rsid w:val="00660792"/>
    <w:rsid w:val="006652E4"/>
    <w:rsid w:val="00665BC1"/>
    <w:rsid w:val="00675146"/>
    <w:rsid w:val="0067516C"/>
    <w:rsid w:val="00675670"/>
    <w:rsid w:val="0067582E"/>
    <w:rsid w:val="00677D41"/>
    <w:rsid w:val="00690B16"/>
    <w:rsid w:val="006A3163"/>
    <w:rsid w:val="006A466B"/>
    <w:rsid w:val="006B5F24"/>
    <w:rsid w:val="006B65EA"/>
    <w:rsid w:val="006B69DF"/>
    <w:rsid w:val="006B7F14"/>
    <w:rsid w:val="006C108C"/>
    <w:rsid w:val="006C1FBB"/>
    <w:rsid w:val="006C603D"/>
    <w:rsid w:val="006D0A6C"/>
    <w:rsid w:val="006D28DB"/>
    <w:rsid w:val="006D3B40"/>
    <w:rsid w:val="006D54F8"/>
    <w:rsid w:val="006D629C"/>
    <w:rsid w:val="006D68BE"/>
    <w:rsid w:val="006E1678"/>
    <w:rsid w:val="006E317B"/>
    <w:rsid w:val="006E5A1C"/>
    <w:rsid w:val="006E5F50"/>
    <w:rsid w:val="006E7722"/>
    <w:rsid w:val="006F4F24"/>
    <w:rsid w:val="006F7FD7"/>
    <w:rsid w:val="0070375B"/>
    <w:rsid w:val="00707F02"/>
    <w:rsid w:val="00707F18"/>
    <w:rsid w:val="007114F1"/>
    <w:rsid w:val="0071510E"/>
    <w:rsid w:val="00717F66"/>
    <w:rsid w:val="007204C6"/>
    <w:rsid w:val="0072186C"/>
    <w:rsid w:val="0072199A"/>
    <w:rsid w:val="00723D68"/>
    <w:rsid w:val="00725B32"/>
    <w:rsid w:val="00726F86"/>
    <w:rsid w:val="00730798"/>
    <w:rsid w:val="00732F52"/>
    <w:rsid w:val="007420A5"/>
    <w:rsid w:val="007433D1"/>
    <w:rsid w:val="00746460"/>
    <w:rsid w:val="007519B1"/>
    <w:rsid w:val="00757287"/>
    <w:rsid w:val="00760543"/>
    <w:rsid w:val="007614C5"/>
    <w:rsid w:val="0078310C"/>
    <w:rsid w:val="00785202"/>
    <w:rsid w:val="00793BFF"/>
    <w:rsid w:val="007B6080"/>
    <w:rsid w:val="007C0B7C"/>
    <w:rsid w:val="007C2FA0"/>
    <w:rsid w:val="007C4864"/>
    <w:rsid w:val="007C6AEB"/>
    <w:rsid w:val="007D5D4B"/>
    <w:rsid w:val="007E59BC"/>
    <w:rsid w:val="007E6168"/>
    <w:rsid w:val="007E7F98"/>
    <w:rsid w:val="007F2160"/>
    <w:rsid w:val="007F349E"/>
    <w:rsid w:val="007F3846"/>
    <w:rsid w:val="00800969"/>
    <w:rsid w:val="00801258"/>
    <w:rsid w:val="00811741"/>
    <w:rsid w:val="00815684"/>
    <w:rsid w:val="00816374"/>
    <w:rsid w:val="00816D84"/>
    <w:rsid w:val="00817396"/>
    <w:rsid w:val="008203F1"/>
    <w:rsid w:val="0082157F"/>
    <w:rsid w:val="00821A8F"/>
    <w:rsid w:val="00821AAF"/>
    <w:rsid w:val="00821AD1"/>
    <w:rsid w:val="008230D5"/>
    <w:rsid w:val="008269A5"/>
    <w:rsid w:val="00830762"/>
    <w:rsid w:val="00835B85"/>
    <w:rsid w:val="008442E2"/>
    <w:rsid w:val="0085361E"/>
    <w:rsid w:val="00857857"/>
    <w:rsid w:val="00863852"/>
    <w:rsid w:val="00865C94"/>
    <w:rsid w:val="00865FB8"/>
    <w:rsid w:val="00871B53"/>
    <w:rsid w:val="008751B1"/>
    <w:rsid w:val="008753FE"/>
    <w:rsid w:val="00886491"/>
    <w:rsid w:val="00890870"/>
    <w:rsid w:val="008A4879"/>
    <w:rsid w:val="008A56E6"/>
    <w:rsid w:val="008A64D7"/>
    <w:rsid w:val="008B09FC"/>
    <w:rsid w:val="008B0FF2"/>
    <w:rsid w:val="008B1AA2"/>
    <w:rsid w:val="008C3408"/>
    <w:rsid w:val="008C3993"/>
    <w:rsid w:val="008C64A2"/>
    <w:rsid w:val="008C7A14"/>
    <w:rsid w:val="008D54B9"/>
    <w:rsid w:val="008E1F5F"/>
    <w:rsid w:val="008F02B0"/>
    <w:rsid w:val="008F2804"/>
    <w:rsid w:val="008F2D2F"/>
    <w:rsid w:val="008F6AB6"/>
    <w:rsid w:val="008F7002"/>
    <w:rsid w:val="00900E79"/>
    <w:rsid w:val="00901C6C"/>
    <w:rsid w:val="00902571"/>
    <w:rsid w:val="00904608"/>
    <w:rsid w:val="00904B92"/>
    <w:rsid w:val="00907160"/>
    <w:rsid w:val="0091384C"/>
    <w:rsid w:val="00913E18"/>
    <w:rsid w:val="00914AF6"/>
    <w:rsid w:val="0092238E"/>
    <w:rsid w:val="0092594A"/>
    <w:rsid w:val="00925D2E"/>
    <w:rsid w:val="00930624"/>
    <w:rsid w:val="00930C9C"/>
    <w:rsid w:val="00936787"/>
    <w:rsid w:val="00936BC1"/>
    <w:rsid w:val="009415A0"/>
    <w:rsid w:val="00941B7C"/>
    <w:rsid w:val="00941E5F"/>
    <w:rsid w:val="0095034A"/>
    <w:rsid w:val="00951455"/>
    <w:rsid w:val="00953807"/>
    <w:rsid w:val="00957C94"/>
    <w:rsid w:val="00957E73"/>
    <w:rsid w:val="00960EA6"/>
    <w:rsid w:val="0096219D"/>
    <w:rsid w:val="00962842"/>
    <w:rsid w:val="00964871"/>
    <w:rsid w:val="00966F13"/>
    <w:rsid w:val="0097170D"/>
    <w:rsid w:val="009736BD"/>
    <w:rsid w:val="0097387B"/>
    <w:rsid w:val="009806F6"/>
    <w:rsid w:val="00982521"/>
    <w:rsid w:val="00984C08"/>
    <w:rsid w:val="00986ED3"/>
    <w:rsid w:val="00991510"/>
    <w:rsid w:val="00995146"/>
    <w:rsid w:val="009A09D2"/>
    <w:rsid w:val="009A354D"/>
    <w:rsid w:val="009B3042"/>
    <w:rsid w:val="009B5308"/>
    <w:rsid w:val="009B5675"/>
    <w:rsid w:val="009B5C7F"/>
    <w:rsid w:val="009C0B6B"/>
    <w:rsid w:val="009C1659"/>
    <w:rsid w:val="009C1C70"/>
    <w:rsid w:val="009D240A"/>
    <w:rsid w:val="009D6D27"/>
    <w:rsid w:val="009E4F60"/>
    <w:rsid w:val="009E6716"/>
    <w:rsid w:val="009F6E75"/>
    <w:rsid w:val="009F6F41"/>
    <w:rsid w:val="009F7FFC"/>
    <w:rsid w:val="00A04B10"/>
    <w:rsid w:val="00A06012"/>
    <w:rsid w:val="00A0602D"/>
    <w:rsid w:val="00A07A3E"/>
    <w:rsid w:val="00A11291"/>
    <w:rsid w:val="00A13078"/>
    <w:rsid w:val="00A2381C"/>
    <w:rsid w:val="00A262C5"/>
    <w:rsid w:val="00A26468"/>
    <w:rsid w:val="00A302B4"/>
    <w:rsid w:val="00A3051D"/>
    <w:rsid w:val="00A37D50"/>
    <w:rsid w:val="00A40D6E"/>
    <w:rsid w:val="00A4157C"/>
    <w:rsid w:val="00A42C45"/>
    <w:rsid w:val="00A52D63"/>
    <w:rsid w:val="00A5478B"/>
    <w:rsid w:val="00A54D42"/>
    <w:rsid w:val="00A54E11"/>
    <w:rsid w:val="00A573E2"/>
    <w:rsid w:val="00A62030"/>
    <w:rsid w:val="00A63F9F"/>
    <w:rsid w:val="00A6468F"/>
    <w:rsid w:val="00A64F3A"/>
    <w:rsid w:val="00A654B0"/>
    <w:rsid w:val="00A65929"/>
    <w:rsid w:val="00A67BF2"/>
    <w:rsid w:val="00A67DBE"/>
    <w:rsid w:val="00A70280"/>
    <w:rsid w:val="00A82CCB"/>
    <w:rsid w:val="00A86E27"/>
    <w:rsid w:val="00A86EF2"/>
    <w:rsid w:val="00A90291"/>
    <w:rsid w:val="00A9347F"/>
    <w:rsid w:val="00A941E7"/>
    <w:rsid w:val="00A951A2"/>
    <w:rsid w:val="00A95B81"/>
    <w:rsid w:val="00A96FD6"/>
    <w:rsid w:val="00A971A4"/>
    <w:rsid w:val="00AA3508"/>
    <w:rsid w:val="00AA3964"/>
    <w:rsid w:val="00AA3AB3"/>
    <w:rsid w:val="00AB4631"/>
    <w:rsid w:val="00AC0AAA"/>
    <w:rsid w:val="00AC4001"/>
    <w:rsid w:val="00AC6252"/>
    <w:rsid w:val="00AC7F45"/>
    <w:rsid w:val="00AD2619"/>
    <w:rsid w:val="00AD2E62"/>
    <w:rsid w:val="00AD4272"/>
    <w:rsid w:val="00AE6F13"/>
    <w:rsid w:val="00AF10C4"/>
    <w:rsid w:val="00AF6B4D"/>
    <w:rsid w:val="00B01D9F"/>
    <w:rsid w:val="00B041E8"/>
    <w:rsid w:val="00B04670"/>
    <w:rsid w:val="00B05547"/>
    <w:rsid w:val="00B05637"/>
    <w:rsid w:val="00B06CDC"/>
    <w:rsid w:val="00B07658"/>
    <w:rsid w:val="00B10A8F"/>
    <w:rsid w:val="00B127BE"/>
    <w:rsid w:val="00B14659"/>
    <w:rsid w:val="00B1704C"/>
    <w:rsid w:val="00B226E2"/>
    <w:rsid w:val="00B272A7"/>
    <w:rsid w:val="00B353DD"/>
    <w:rsid w:val="00B42316"/>
    <w:rsid w:val="00B50A19"/>
    <w:rsid w:val="00B50D97"/>
    <w:rsid w:val="00B5261D"/>
    <w:rsid w:val="00B570EB"/>
    <w:rsid w:val="00B63ACA"/>
    <w:rsid w:val="00B665FA"/>
    <w:rsid w:val="00B7061E"/>
    <w:rsid w:val="00B724BE"/>
    <w:rsid w:val="00B72EFE"/>
    <w:rsid w:val="00B74451"/>
    <w:rsid w:val="00B754EE"/>
    <w:rsid w:val="00B812F6"/>
    <w:rsid w:val="00B8258C"/>
    <w:rsid w:val="00B869D0"/>
    <w:rsid w:val="00B87247"/>
    <w:rsid w:val="00B91CBB"/>
    <w:rsid w:val="00B95C93"/>
    <w:rsid w:val="00B964AC"/>
    <w:rsid w:val="00BA027C"/>
    <w:rsid w:val="00BA042B"/>
    <w:rsid w:val="00BB1846"/>
    <w:rsid w:val="00BC6ED4"/>
    <w:rsid w:val="00BD4773"/>
    <w:rsid w:val="00BD5FF6"/>
    <w:rsid w:val="00BD6E27"/>
    <w:rsid w:val="00BE4C45"/>
    <w:rsid w:val="00BE6260"/>
    <w:rsid w:val="00BF3919"/>
    <w:rsid w:val="00BF6214"/>
    <w:rsid w:val="00BF6C73"/>
    <w:rsid w:val="00C305EE"/>
    <w:rsid w:val="00C37154"/>
    <w:rsid w:val="00C41134"/>
    <w:rsid w:val="00C4624A"/>
    <w:rsid w:val="00C52272"/>
    <w:rsid w:val="00C549BE"/>
    <w:rsid w:val="00C56C92"/>
    <w:rsid w:val="00C612DE"/>
    <w:rsid w:val="00C61DFE"/>
    <w:rsid w:val="00C6520D"/>
    <w:rsid w:val="00C70BEA"/>
    <w:rsid w:val="00C711CA"/>
    <w:rsid w:val="00C71665"/>
    <w:rsid w:val="00C72822"/>
    <w:rsid w:val="00C734D3"/>
    <w:rsid w:val="00C747D2"/>
    <w:rsid w:val="00C75143"/>
    <w:rsid w:val="00C76DBB"/>
    <w:rsid w:val="00C866A0"/>
    <w:rsid w:val="00C878B3"/>
    <w:rsid w:val="00C91546"/>
    <w:rsid w:val="00C96C57"/>
    <w:rsid w:val="00C96D58"/>
    <w:rsid w:val="00CA31C1"/>
    <w:rsid w:val="00CA6851"/>
    <w:rsid w:val="00CA76C8"/>
    <w:rsid w:val="00CB115E"/>
    <w:rsid w:val="00CB1AD6"/>
    <w:rsid w:val="00CB3F7B"/>
    <w:rsid w:val="00CC016B"/>
    <w:rsid w:val="00CC4365"/>
    <w:rsid w:val="00CC46C2"/>
    <w:rsid w:val="00CC489C"/>
    <w:rsid w:val="00CC7606"/>
    <w:rsid w:val="00CD3B8D"/>
    <w:rsid w:val="00CE2AA3"/>
    <w:rsid w:val="00CE7998"/>
    <w:rsid w:val="00CF3C57"/>
    <w:rsid w:val="00CF3C63"/>
    <w:rsid w:val="00D00E5D"/>
    <w:rsid w:val="00D01B18"/>
    <w:rsid w:val="00D07C32"/>
    <w:rsid w:val="00D11E46"/>
    <w:rsid w:val="00D12FCD"/>
    <w:rsid w:val="00D157FA"/>
    <w:rsid w:val="00D24071"/>
    <w:rsid w:val="00D257E4"/>
    <w:rsid w:val="00D25DA3"/>
    <w:rsid w:val="00D32657"/>
    <w:rsid w:val="00D346FF"/>
    <w:rsid w:val="00D34EC5"/>
    <w:rsid w:val="00D35048"/>
    <w:rsid w:val="00D360D4"/>
    <w:rsid w:val="00D366B2"/>
    <w:rsid w:val="00D36BEB"/>
    <w:rsid w:val="00D377AB"/>
    <w:rsid w:val="00D41042"/>
    <w:rsid w:val="00D4116E"/>
    <w:rsid w:val="00D45763"/>
    <w:rsid w:val="00D4577A"/>
    <w:rsid w:val="00D45A47"/>
    <w:rsid w:val="00D47D3A"/>
    <w:rsid w:val="00D508D3"/>
    <w:rsid w:val="00D51201"/>
    <w:rsid w:val="00D522A7"/>
    <w:rsid w:val="00D62833"/>
    <w:rsid w:val="00D74818"/>
    <w:rsid w:val="00D75AD8"/>
    <w:rsid w:val="00D8136B"/>
    <w:rsid w:val="00D82678"/>
    <w:rsid w:val="00DA1AD5"/>
    <w:rsid w:val="00DA1BF9"/>
    <w:rsid w:val="00DA3E23"/>
    <w:rsid w:val="00DA5182"/>
    <w:rsid w:val="00DA698F"/>
    <w:rsid w:val="00DA6E9C"/>
    <w:rsid w:val="00DB1F31"/>
    <w:rsid w:val="00DC1BF6"/>
    <w:rsid w:val="00DD0D36"/>
    <w:rsid w:val="00DD4CD5"/>
    <w:rsid w:val="00DD7BEC"/>
    <w:rsid w:val="00DF1240"/>
    <w:rsid w:val="00DF5090"/>
    <w:rsid w:val="00DF6976"/>
    <w:rsid w:val="00E0320C"/>
    <w:rsid w:val="00E04EEB"/>
    <w:rsid w:val="00E06C53"/>
    <w:rsid w:val="00E12232"/>
    <w:rsid w:val="00E14894"/>
    <w:rsid w:val="00E2560F"/>
    <w:rsid w:val="00E25BEE"/>
    <w:rsid w:val="00E32A39"/>
    <w:rsid w:val="00E32C75"/>
    <w:rsid w:val="00E3358D"/>
    <w:rsid w:val="00E36894"/>
    <w:rsid w:val="00E440AA"/>
    <w:rsid w:val="00E44D01"/>
    <w:rsid w:val="00E45351"/>
    <w:rsid w:val="00E45C2F"/>
    <w:rsid w:val="00E462F3"/>
    <w:rsid w:val="00E50FD8"/>
    <w:rsid w:val="00E51F0D"/>
    <w:rsid w:val="00E53E8B"/>
    <w:rsid w:val="00E603BE"/>
    <w:rsid w:val="00E6061C"/>
    <w:rsid w:val="00E70C01"/>
    <w:rsid w:val="00E75DFB"/>
    <w:rsid w:val="00E75F6D"/>
    <w:rsid w:val="00E77FA5"/>
    <w:rsid w:val="00E81D10"/>
    <w:rsid w:val="00E8559F"/>
    <w:rsid w:val="00E87CED"/>
    <w:rsid w:val="00E90981"/>
    <w:rsid w:val="00EA2095"/>
    <w:rsid w:val="00EA5CBA"/>
    <w:rsid w:val="00EA67DC"/>
    <w:rsid w:val="00EB5390"/>
    <w:rsid w:val="00EB6F48"/>
    <w:rsid w:val="00EB7A9D"/>
    <w:rsid w:val="00EB7ED1"/>
    <w:rsid w:val="00EC4FCB"/>
    <w:rsid w:val="00EC52CC"/>
    <w:rsid w:val="00EC70EF"/>
    <w:rsid w:val="00EC7212"/>
    <w:rsid w:val="00ED0D4D"/>
    <w:rsid w:val="00EE0B83"/>
    <w:rsid w:val="00EE4495"/>
    <w:rsid w:val="00EE4AFE"/>
    <w:rsid w:val="00EE4B80"/>
    <w:rsid w:val="00EE7316"/>
    <w:rsid w:val="00EF2AED"/>
    <w:rsid w:val="00EF72A8"/>
    <w:rsid w:val="00F0022D"/>
    <w:rsid w:val="00F039B6"/>
    <w:rsid w:val="00F0416E"/>
    <w:rsid w:val="00F04D6A"/>
    <w:rsid w:val="00F0773A"/>
    <w:rsid w:val="00F149D9"/>
    <w:rsid w:val="00F16804"/>
    <w:rsid w:val="00F170A5"/>
    <w:rsid w:val="00F20343"/>
    <w:rsid w:val="00F32359"/>
    <w:rsid w:val="00F32AAA"/>
    <w:rsid w:val="00F34C6B"/>
    <w:rsid w:val="00F40C45"/>
    <w:rsid w:val="00F41B95"/>
    <w:rsid w:val="00F456A9"/>
    <w:rsid w:val="00F458FF"/>
    <w:rsid w:val="00F4658B"/>
    <w:rsid w:val="00F505C3"/>
    <w:rsid w:val="00F547D7"/>
    <w:rsid w:val="00F63577"/>
    <w:rsid w:val="00F664E6"/>
    <w:rsid w:val="00F70F7C"/>
    <w:rsid w:val="00F766DC"/>
    <w:rsid w:val="00F80500"/>
    <w:rsid w:val="00F82A09"/>
    <w:rsid w:val="00F82D5E"/>
    <w:rsid w:val="00F84DC3"/>
    <w:rsid w:val="00F9343C"/>
    <w:rsid w:val="00FA137E"/>
    <w:rsid w:val="00FA14B5"/>
    <w:rsid w:val="00FB2BFC"/>
    <w:rsid w:val="00FC3C97"/>
    <w:rsid w:val="00FC7F25"/>
    <w:rsid w:val="00FD0730"/>
    <w:rsid w:val="00FD195C"/>
    <w:rsid w:val="00FD2ABC"/>
    <w:rsid w:val="00FD3005"/>
    <w:rsid w:val="00FD32A5"/>
    <w:rsid w:val="00FD43CF"/>
    <w:rsid w:val="00FE4A55"/>
    <w:rsid w:val="00FE7179"/>
    <w:rsid w:val="00FF01A1"/>
    <w:rsid w:val="00FF2B35"/>
    <w:rsid w:val="00FF30A9"/>
    <w:rsid w:val="00FF48E0"/>
    <w:rsid w:val="00FF49DD"/>
    <w:rsid w:val="03BF1366"/>
    <w:rsid w:val="042A5311"/>
    <w:rsid w:val="04924B04"/>
    <w:rsid w:val="04C528BD"/>
    <w:rsid w:val="04E92C35"/>
    <w:rsid w:val="04F0750E"/>
    <w:rsid w:val="054E4878"/>
    <w:rsid w:val="06116B8A"/>
    <w:rsid w:val="071B153A"/>
    <w:rsid w:val="07521881"/>
    <w:rsid w:val="08E35BE3"/>
    <w:rsid w:val="096B6B8D"/>
    <w:rsid w:val="0AD60E30"/>
    <w:rsid w:val="0BB675FD"/>
    <w:rsid w:val="0C004617"/>
    <w:rsid w:val="0C8068AF"/>
    <w:rsid w:val="0CC41E24"/>
    <w:rsid w:val="0CE54245"/>
    <w:rsid w:val="0D0A01C1"/>
    <w:rsid w:val="0DF13E92"/>
    <w:rsid w:val="0DF232FC"/>
    <w:rsid w:val="0ED14730"/>
    <w:rsid w:val="0F1D2CBB"/>
    <w:rsid w:val="0F39058A"/>
    <w:rsid w:val="0F3A3ED5"/>
    <w:rsid w:val="0F3E0658"/>
    <w:rsid w:val="0FC5333E"/>
    <w:rsid w:val="0FD972BF"/>
    <w:rsid w:val="10283390"/>
    <w:rsid w:val="104622CD"/>
    <w:rsid w:val="108060CC"/>
    <w:rsid w:val="12315D70"/>
    <w:rsid w:val="13487A0F"/>
    <w:rsid w:val="142E0833"/>
    <w:rsid w:val="15FC3FFF"/>
    <w:rsid w:val="16F2001E"/>
    <w:rsid w:val="17C3686B"/>
    <w:rsid w:val="186A25CE"/>
    <w:rsid w:val="18704672"/>
    <w:rsid w:val="18A71723"/>
    <w:rsid w:val="18B24A7F"/>
    <w:rsid w:val="19D0182A"/>
    <w:rsid w:val="1A1E7CE8"/>
    <w:rsid w:val="1AC4101F"/>
    <w:rsid w:val="1C0E4839"/>
    <w:rsid w:val="1C304110"/>
    <w:rsid w:val="1C471BC7"/>
    <w:rsid w:val="1C6A3680"/>
    <w:rsid w:val="1CB84309"/>
    <w:rsid w:val="1E2B7A95"/>
    <w:rsid w:val="1E3030C1"/>
    <w:rsid w:val="1E305A40"/>
    <w:rsid w:val="1E313E1D"/>
    <w:rsid w:val="1EC94A52"/>
    <w:rsid w:val="1F0E7AB4"/>
    <w:rsid w:val="1F4827EE"/>
    <w:rsid w:val="1FEF5F3D"/>
    <w:rsid w:val="20361303"/>
    <w:rsid w:val="20B3764B"/>
    <w:rsid w:val="214475B1"/>
    <w:rsid w:val="21867272"/>
    <w:rsid w:val="22F314A7"/>
    <w:rsid w:val="23271694"/>
    <w:rsid w:val="23AA58D9"/>
    <w:rsid w:val="24E8305E"/>
    <w:rsid w:val="24FD1A11"/>
    <w:rsid w:val="251C154B"/>
    <w:rsid w:val="251C5D64"/>
    <w:rsid w:val="25836DCE"/>
    <w:rsid w:val="259926B1"/>
    <w:rsid w:val="25F831D1"/>
    <w:rsid w:val="26DA14F9"/>
    <w:rsid w:val="27A33B3C"/>
    <w:rsid w:val="27EB1F88"/>
    <w:rsid w:val="28610EAA"/>
    <w:rsid w:val="28A01F3B"/>
    <w:rsid w:val="28E602FB"/>
    <w:rsid w:val="29145E6D"/>
    <w:rsid w:val="2920270E"/>
    <w:rsid w:val="295D4C90"/>
    <w:rsid w:val="29C04B40"/>
    <w:rsid w:val="29C4500E"/>
    <w:rsid w:val="2A1678BF"/>
    <w:rsid w:val="2A842CEC"/>
    <w:rsid w:val="2AEE44B3"/>
    <w:rsid w:val="2B741A5C"/>
    <w:rsid w:val="2C677F7C"/>
    <w:rsid w:val="2CBA6AEC"/>
    <w:rsid w:val="2D3A6423"/>
    <w:rsid w:val="2DF84C7D"/>
    <w:rsid w:val="2E3E53FE"/>
    <w:rsid w:val="2E4D2D6D"/>
    <w:rsid w:val="2E6931D4"/>
    <w:rsid w:val="300C4C15"/>
    <w:rsid w:val="3018141F"/>
    <w:rsid w:val="3095448D"/>
    <w:rsid w:val="309F569C"/>
    <w:rsid w:val="30C04E96"/>
    <w:rsid w:val="311209AF"/>
    <w:rsid w:val="31522376"/>
    <w:rsid w:val="321616AD"/>
    <w:rsid w:val="33102B11"/>
    <w:rsid w:val="3324130D"/>
    <w:rsid w:val="34333A43"/>
    <w:rsid w:val="35AC5D73"/>
    <w:rsid w:val="361F714B"/>
    <w:rsid w:val="36B0767D"/>
    <w:rsid w:val="3716760F"/>
    <w:rsid w:val="37731631"/>
    <w:rsid w:val="377641B4"/>
    <w:rsid w:val="38156D4B"/>
    <w:rsid w:val="39AB2E6A"/>
    <w:rsid w:val="39D52EEC"/>
    <w:rsid w:val="3A642FD5"/>
    <w:rsid w:val="3B4D3CEC"/>
    <w:rsid w:val="3BB2639F"/>
    <w:rsid w:val="3D21403C"/>
    <w:rsid w:val="3DD54FA0"/>
    <w:rsid w:val="3F9E26A0"/>
    <w:rsid w:val="3FBE666B"/>
    <w:rsid w:val="4012276A"/>
    <w:rsid w:val="41415BB2"/>
    <w:rsid w:val="41547784"/>
    <w:rsid w:val="41DC0503"/>
    <w:rsid w:val="41E436DC"/>
    <w:rsid w:val="42280F95"/>
    <w:rsid w:val="4270185D"/>
    <w:rsid w:val="430F3620"/>
    <w:rsid w:val="431D540C"/>
    <w:rsid w:val="433E4E72"/>
    <w:rsid w:val="4346614A"/>
    <w:rsid w:val="43F4426B"/>
    <w:rsid w:val="4455464A"/>
    <w:rsid w:val="44617D03"/>
    <w:rsid w:val="44891B6E"/>
    <w:rsid w:val="456F73C9"/>
    <w:rsid w:val="45CF073D"/>
    <w:rsid w:val="465D02CC"/>
    <w:rsid w:val="46823301"/>
    <w:rsid w:val="46A80D72"/>
    <w:rsid w:val="476D77C4"/>
    <w:rsid w:val="47C056D3"/>
    <w:rsid w:val="480D64FC"/>
    <w:rsid w:val="485D7ED7"/>
    <w:rsid w:val="491443D1"/>
    <w:rsid w:val="49483BCF"/>
    <w:rsid w:val="49DD0994"/>
    <w:rsid w:val="4A0C551F"/>
    <w:rsid w:val="4B0E199A"/>
    <w:rsid w:val="4B3F025C"/>
    <w:rsid w:val="4B4F6D3D"/>
    <w:rsid w:val="4BE17628"/>
    <w:rsid w:val="4BEF55F4"/>
    <w:rsid w:val="4C215455"/>
    <w:rsid w:val="4CED1F92"/>
    <w:rsid w:val="4D680324"/>
    <w:rsid w:val="4D757488"/>
    <w:rsid w:val="4DD90207"/>
    <w:rsid w:val="4DED5841"/>
    <w:rsid w:val="4F236665"/>
    <w:rsid w:val="4F3C4ACB"/>
    <w:rsid w:val="4F410DCB"/>
    <w:rsid w:val="4FF25312"/>
    <w:rsid w:val="504A67A8"/>
    <w:rsid w:val="505E2A26"/>
    <w:rsid w:val="508A14D4"/>
    <w:rsid w:val="50A4590B"/>
    <w:rsid w:val="51301B73"/>
    <w:rsid w:val="51403149"/>
    <w:rsid w:val="51B14C47"/>
    <w:rsid w:val="51BD206B"/>
    <w:rsid w:val="51CC62AA"/>
    <w:rsid w:val="527D25C4"/>
    <w:rsid w:val="52AF48D1"/>
    <w:rsid w:val="52BE77F2"/>
    <w:rsid w:val="53370A84"/>
    <w:rsid w:val="53733EE9"/>
    <w:rsid w:val="5374430F"/>
    <w:rsid w:val="541B1D8E"/>
    <w:rsid w:val="542E40F7"/>
    <w:rsid w:val="55430FF3"/>
    <w:rsid w:val="575E097D"/>
    <w:rsid w:val="57A5260E"/>
    <w:rsid w:val="59A3653D"/>
    <w:rsid w:val="5B126982"/>
    <w:rsid w:val="5B7D488F"/>
    <w:rsid w:val="5BFB65E3"/>
    <w:rsid w:val="5D0F3183"/>
    <w:rsid w:val="5D237F4E"/>
    <w:rsid w:val="5D316DAF"/>
    <w:rsid w:val="5DCB6EC8"/>
    <w:rsid w:val="5F40289B"/>
    <w:rsid w:val="61413FF2"/>
    <w:rsid w:val="61D35E8B"/>
    <w:rsid w:val="62062119"/>
    <w:rsid w:val="621D4051"/>
    <w:rsid w:val="62FC4624"/>
    <w:rsid w:val="634344EC"/>
    <w:rsid w:val="638952D8"/>
    <w:rsid w:val="63B0112B"/>
    <w:rsid w:val="642D2317"/>
    <w:rsid w:val="642D285E"/>
    <w:rsid w:val="64AC27E8"/>
    <w:rsid w:val="653309BD"/>
    <w:rsid w:val="6534661A"/>
    <w:rsid w:val="65AA4BA9"/>
    <w:rsid w:val="66060609"/>
    <w:rsid w:val="664D14B9"/>
    <w:rsid w:val="66616975"/>
    <w:rsid w:val="67D60B9E"/>
    <w:rsid w:val="69D66D5B"/>
    <w:rsid w:val="69F6211C"/>
    <w:rsid w:val="69FB5FE7"/>
    <w:rsid w:val="6ACE4B3A"/>
    <w:rsid w:val="6AE4015F"/>
    <w:rsid w:val="6C4545EA"/>
    <w:rsid w:val="6CE31378"/>
    <w:rsid w:val="6D044BE5"/>
    <w:rsid w:val="6D131FFF"/>
    <w:rsid w:val="6D372379"/>
    <w:rsid w:val="6DFF0777"/>
    <w:rsid w:val="6E8D5661"/>
    <w:rsid w:val="6EE32435"/>
    <w:rsid w:val="6F0538A5"/>
    <w:rsid w:val="6FAB4B6B"/>
    <w:rsid w:val="701A24DD"/>
    <w:rsid w:val="70DA7618"/>
    <w:rsid w:val="7189043A"/>
    <w:rsid w:val="72AB1BE9"/>
    <w:rsid w:val="72BD7024"/>
    <w:rsid w:val="732607CE"/>
    <w:rsid w:val="738243F0"/>
    <w:rsid w:val="73914C4D"/>
    <w:rsid w:val="73DB60E5"/>
    <w:rsid w:val="73DF61EE"/>
    <w:rsid w:val="73E853A6"/>
    <w:rsid w:val="73EE441B"/>
    <w:rsid w:val="740515A4"/>
    <w:rsid w:val="74707529"/>
    <w:rsid w:val="76AA1FC2"/>
    <w:rsid w:val="76EC5B18"/>
    <w:rsid w:val="76EF2F20"/>
    <w:rsid w:val="770F6AC7"/>
    <w:rsid w:val="77A661E8"/>
    <w:rsid w:val="781B6AE5"/>
    <w:rsid w:val="781E0C0F"/>
    <w:rsid w:val="786D05E2"/>
    <w:rsid w:val="7905006A"/>
    <w:rsid w:val="79A81F5B"/>
    <w:rsid w:val="79B91DCF"/>
    <w:rsid w:val="79F65044"/>
    <w:rsid w:val="7A081D8C"/>
    <w:rsid w:val="7A1D6E66"/>
    <w:rsid w:val="7A4B135E"/>
    <w:rsid w:val="7B3E26A4"/>
    <w:rsid w:val="7B903657"/>
    <w:rsid w:val="7BA56EAC"/>
    <w:rsid w:val="7C0671C0"/>
    <w:rsid w:val="7C0E5853"/>
    <w:rsid w:val="7D4C7618"/>
    <w:rsid w:val="7EB607B4"/>
    <w:rsid w:val="7EC65561"/>
    <w:rsid w:val="7F2974A0"/>
    <w:rsid w:val="7F6C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0" w:firstLineChars="200"/>
      <w:jc w:val="both"/>
    </w:pPr>
    <w:rPr>
      <w:rFonts w:hint="default" w:ascii="宋体" w:hAnsi="宋体" w:eastAsia="宋体" w:cs="Times New Roman"/>
      <w:kern w:val="2"/>
      <w:sz w:val="28"/>
      <w:szCs w:val="22"/>
      <w:lang w:val="en-US" w:eastAsia="zh-CN" w:bidi="ar-SA"/>
    </w:rPr>
  </w:style>
  <w:style w:type="paragraph" w:styleId="3">
    <w:name w:val="heading 1"/>
    <w:basedOn w:val="1"/>
    <w:next w:val="1"/>
    <w:link w:val="35"/>
    <w:qFormat/>
    <w:uiPriority w:val="0"/>
    <w:pPr>
      <w:keepNext/>
      <w:keepLines/>
      <w:pageBreakBefore/>
      <w:spacing w:before="340" w:after="330" w:line="579" w:lineRule="auto"/>
      <w:ind w:firstLine="0" w:firstLineChars="0"/>
      <w:jc w:val="center"/>
      <w:outlineLvl w:val="0"/>
    </w:pPr>
    <w:rPr>
      <w:rFonts w:ascii="Calibri" w:hAnsi="Calibri" w:eastAsia="黑体" w:cs="Arial"/>
      <w:b/>
      <w:bCs/>
      <w:kern w:val="44"/>
      <w:sz w:val="44"/>
      <w:szCs w:val="44"/>
    </w:rPr>
  </w:style>
  <w:style w:type="paragraph" w:styleId="4">
    <w:name w:val="heading 2"/>
    <w:basedOn w:val="1"/>
    <w:next w:val="1"/>
    <w:link w:val="36"/>
    <w:qFormat/>
    <w:uiPriority w:val="9"/>
    <w:pPr>
      <w:keepNext/>
      <w:keepLines/>
      <w:spacing w:before="260" w:after="260" w:line="416" w:lineRule="auto"/>
      <w:ind w:firstLine="0" w:firstLineChars="0"/>
      <w:jc w:val="center"/>
      <w:outlineLvl w:val="1"/>
    </w:pPr>
    <w:rPr>
      <w:rFonts w:ascii="黑体" w:hAnsi="黑体" w:eastAsia="黑体"/>
      <w:b/>
      <w:bCs/>
      <w:sz w:val="32"/>
      <w:szCs w:val="32"/>
    </w:rPr>
  </w:style>
  <w:style w:type="paragraph" w:styleId="5">
    <w:name w:val="heading 3"/>
    <w:basedOn w:val="1"/>
    <w:next w:val="1"/>
    <w:link w:val="37"/>
    <w:unhideWhenUsed/>
    <w:qFormat/>
    <w:uiPriority w:val="9"/>
    <w:pPr>
      <w:keepNext/>
      <w:keepLines/>
      <w:spacing w:before="260" w:after="260" w:line="416" w:lineRule="auto"/>
      <w:ind w:firstLine="0" w:firstLineChars="0"/>
      <w:outlineLvl w:val="2"/>
    </w:pPr>
    <w:rPr>
      <w:rFonts w:ascii="黑体" w:hAnsi="黑体" w:eastAsia="黑体"/>
      <w:b/>
      <w:bCs/>
      <w:szCs w:val="32"/>
    </w:rPr>
  </w:style>
  <w:style w:type="paragraph" w:styleId="6">
    <w:name w:val="heading 4"/>
    <w:basedOn w:val="1"/>
    <w:next w:val="1"/>
    <w:link w:val="147"/>
    <w:unhideWhenUsed/>
    <w:qFormat/>
    <w:uiPriority w:val="9"/>
    <w:pPr>
      <w:keepNext/>
      <w:keepLines/>
      <w:spacing w:before="280" w:after="290" w:line="377" w:lineRule="auto"/>
      <w:ind w:firstLine="0" w:firstLineChars="0"/>
      <w:outlineLvl w:val="3"/>
    </w:pPr>
    <w:rPr>
      <w:rFonts w:ascii="黑体" w:hAnsi="黑体" w:eastAsia="黑体" w:cstheme="majorBidi"/>
      <w:b/>
      <w:bCs/>
      <w:szCs w:val="28"/>
    </w:rPr>
  </w:style>
  <w:style w:type="paragraph" w:styleId="7">
    <w:name w:val="heading 5"/>
    <w:basedOn w:val="1"/>
    <w:next w:val="1"/>
    <w:link w:val="38"/>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Cambria" w:hAnsi="Cambria" w:eastAsia="宋体" w:cs="Cambria"/>
      <w:b/>
      <w:bCs/>
      <w:kern w:val="2"/>
      <w:sz w:val="32"/>
      <w:szCs w:val="32"/>
      <w:lang w:val="en-US" w:eastAsia="zh-CN" w:bidi="ar-SA"/>
    </w:rPr>
  </w:style>
  <w:style w:type="paragraph" w:styleId="8">
    <w:name w:val="toc 7"/>
    <w:basedOn w:val="1"/>
    <w:next w:val="1"/>
    <w:unhideWhenUsed/>
    <w:qFormat/>
    <w:uiPriority w:val="39"/>
    <w:pPr>
      <w:ind w:left="2520" w:leftChars="1200"/>
    </w:pPr>
  </w:style>
  <w:style w:type="paragraph" w:styleId="9">
    <w:name w:val="caption"/>
    <w:basedOn w:val="1"/>
    <w:next w:val="1"/>
    <w:unhideWhenUsed/>
    <w:qFormat/>
    <w:uiPriority w:val="35"/>
    <w:pPr>
      <w:keepNext/>
      <w:spacing w:line="560" w:lineRule="exact"/>
      <w:jc w:val="center"/>
    </w:pPr>
    <w:rPr>
      <w:rFonts w:eastAsia="黑体" w:asciiTheme="majorHAnsi" w:hAnsiTheme="majorHAnsi" w:cstheme="majorBidi"/>
      <w:b/>
      <w:sz w:val="24"/>
      <w:szCs w:val="20"/>
    </w:rPr>
  </w:style>
  <w:style w:type="paragraph" w:styleId="10">
    <w:name w:val="Document Map"/>
    <w:basedOn w:val="1"/>
    <w:link w:val="39"/>
    <w:semiHidden/>
    <w:unhideWhenUsed/>
    <w:qFormat/>
    <w:uiPriority w:val="99"/>
    <w:rPr>
      <w:rFonts w:ascii="宋体" w:eastAsia="宋体"/>
      <w:sz w:val="18"/>
      <w:szCs w:val="18"/>
    </w:rPr>
  </w:style>
  <w:style w:type="paragraph" w:styleId="11">
    <w:name w:val="annotation text"/>
    <w:basedOn w:val="1"/>
    <w:link w:val="40"/>
    <w:semiHidden/>
    <w:unhideWhenUsed/>
    <w:qFormat/>
    <w:uiPriority w:val="99"/>
    <w:pPr>
      <w:jc w:val="left"/>
    </w:pPr>
  </w:style>
  <w:style w:type="paragraph" w:styleId="12">
    <w:name w:val="Body Text"/>
    <w:qFormat/>
    <w:uiPriority w:val="1"/>
    <w:pPr>
      <w:widowControl w:val="0"/>
      <w:autoSpaceDE w:val="0"/>
      <w:autoSpaceDN w:val="0"/>
      <w:spacing w:before="0" w:after="0" w:line="240" w:lineRule="auto"/>
      <w:ind w:left="500" w:right="0"/>
      <w:jc w:val="left"/>
    </w:pPr>
    <w:rPr>
      <w:rFonts w:ascii="仿宋_GB2312" w:hAnsi="仿宋_GB2312" w:eastAsia="仿宋_GB2312" w:cs="仿宋_GB2312"/>
      <w:sz w:val="28"/>
      <w:szCs w:val="28"/>
      <w:lang w:val="zh-CN" w:eastAsia="zh-CN" w:bidi="zh-CN"/>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style>
  <w:style w:type="paragraph" w:styleId="16">
    <w:name w:val="Balloon Text"/>
    <w:basedOn w:val="1"/>
    <w:link w:val="41"/>
    <w:semiHidden/>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spacing w:before="62" w:beforeLines="20"/>
    </w:pPr>
    <w:rPr>
      <w:rFonts w:ascii="黑体" w:eastAsia="黑体" w:cs="黑体"/>
      <w:sz w:val="28"/>
      <w:szCs w:val="24"/>
    </w:rPr>
  </w:style>
  <w:style w:type="paragraph" w:styleId="20">
    <w:name w:val="toc 4"/>
    <w:basedOn w:val="1"/>
    <w:next w:val="1"/>
    <w:unhideWhenUsed/>
    <w:qFormat/>
    <w:uiPriority w:val="39"/>
    <w:pPr>
      <w:ind w:left="1260" w:leftChars="600"/>
    </w:pPr>
  </w:style>
  <w:style w:type="paragraph" w:styleId="21">
    <w:name w:val="footnote text"/>
    <w:basedOn w:val="1"/>
    <w:link w:val="55"/>
    <w:unhideWhenUsed/>
    <w:qFormat/>
    <w:uiPriority w:val="99"/>
    <w:pPr>
      <w:suppressAutoHyphens/>
      <w:snapToGrid w:val="0"/>
      <w:spacing w:beforeLines="50" w:line="300" w:lineRule="auto"/>
      <w:ind w:firstLine="200" w:firstLineChars="200"/>
      <w:jc w:val="left"/>
    </w:pPr>
    <w:rPr>
      <w:rFonts w:ascii="宋体" w:hAnsi="Times New Roman" w:eastAsia="宋体" w:cs="Times New Roman"/>
      <w:color w:val="000000"/>
      <w:kern w:val="0"/>
      <w:sz w:val="18"/>
      <w:szCs w:val="18"/>
      <w:lang w:val="en-GB"/>
    </w:rPr>
  </w:style>
  <w:style w:type="paragraph" w:styleId="22">
    <w:name w:val="toc 6"/>
    <w:basedOn w:val="1"/>
    <w:next w:val="1"/>
    <w:unhideWhenUsed/>
    <w:qFormat/>
    <w:uiPriority w:val="39"/>
    <w:pPr>
      <w:ind w:left="2100" w:leftChars="1000"/>
    </w:pPr>
  </w:style>
  <w:style w:type="paragraph" w:styleId="23">
    <w:name w:val="toc 2"/>
    <w:basedOn w:val="1"/>
    <w:next w:val="1"/>
    <w:unhideWhenUsed/>
    <w:qFormat/>
    <w:uiPriority w:val="39"/>
    <w:pPr>
      <w:tabs>
        <w:tab w:val="left" w:pos="1260"/>
        <w:tab w:val="right" w:leader="dot" w:pos="8296"/>
      </w:tabs>
      <w:spacing w:line="288" w:lineRule="auto"/>
      <w:ind w:left="420" w:leftChars="200"/>
    </w:pPr>
  </w:style>
  <w:style w:type="paragraph" w:styleId="24">
    <w:name w:val="toc 9"/>
    <w:basedOn w:val="1"/>
    <w:next w:val="1"/>
    <w:unhideWhenUsed/>
    <w:qFormat/>
    <w:uiPriority w:val="39"/>
    <w:pPr>
      <w:ind w:left="3360" w:leftChars="1600"/>
    </w:pPr>
  </w:style>
  <w:style w:type="paragraph" w:styleId="25">
    <w:name w:val="Normal (Web)"/>
    <w:basedOn w:val="1"/>
    <w:qFormat/>
    <w:uiPriority w:val="99"/>
    <w:pPr>
      <w:widowControl/>
      <w:spacing w:before="100" w:beforeAutospacing="1" w:after="100" w:afterAutospacing="1"/>
      <w:jc w:val="left"/>
    </w:pPr>
    <w:rPr>
      <w:rFonts w:ascii="宋体" w:hAnsi="Calibri" w:eastAsia="宋体" w:cs="宋体"/>
      <w:kern w:val="0"/>
      <w:szCs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u w:val="single"/>
    </w:rPr>
  </w:style>
  <w:style w:type="character" w:styleId="31">
    <w:name w:val="Emphasis"/>
    <w:basedOn w:val="28"/>
    <w:qFormat/>
    <w:uiPriority w:val="20"/>
    <w:rPr>
      <w:color w:val="CC0000"/>
    </w:rPr>
  </w:style>
  <w:style w:type="character" w:styleId="32">
    <w:name w:val="Hyperlink"/>
    <w:basedOn w:val="28"/>
    <w:unhideWhenUsed/>
    <w:qFormat/>
    <w:uiPriority w:val="99"/>
    <w:rPr>
      <w:color w:val="0000FF" w:themeColor="hyperlink"/>
      <w:u w:val="single"/>
      <w14:textFill>
        <w14:solidFill>
          <w14:schemeClr w14:val="hlink"/>
        </w14:solidFill>
      </w14:textFill>
    </w:rPr>
  </w:style>
  <w:style w:type="character" w:styleId="33">
    <w:name w:val="annotation reference"/>
    <w:basedOn w:val="28"/>
    <w:semiHidden/>
    <w:unhideWhenUsed/>
    <w:qFormat/>
    <w:uiPriority w:val="99"/>
    <w:rPr>
      <w:sz w:val="21"/>
      <w:szCs w:val="21"/>
    </w:rPr>
  </w:style>
  <w:style w:type="character" w:styleId="34">
    <w:name w:val="footnote reference"/>
    <w:unhideWhenUsed/>
    <w:qFormat/>
    <w:uiPriority w:val="99"/>
    <w:rPr>
      <w:vertAlign w:val="superscript"/>
    </w:rPr>
  </w:style>
  <w:style w:type="character" w:customStyle="1" w:styleId="35">
    <w:name w:val="标题 1 字符"/>
    <w:basedOn w:val="28"/>
    <w:link w:val="3"/>
    <w:qFormat/>
    <w:uiPriority w:val="0"/>
    <w:rPr>
      <w:rFonts w:ascii="Calibri" w:hAnsi="Calibri" w:eastAsia="黑体" w:cs="Arial"/>
      <w:b/>
      <w:bCs/>
      <w:kern w:val="44"/>
      <w:sz w:val="44"/>
      <w:szCs w:val="44"/>
    </w:rPr>
  </w:style>
  <w:style w:type="character" w:customStyle="1" w:styleId="36">
    <w:name w:val="标题 2 字符"/>
    <w:basedOn w:val="28"/>
    <w:link w:val="4"/>
    <w:qFormat/>
    <w:uiPriority w:val="9"/>
    <w:rPr>
      <w:rFonts w:ascii="黑体" w:hAnsi="黑体" w:eastAsia="黑体" w:cs="Times New Roman"/>
      <w:b/>
      <w:bCs/>
      <w:sz w:val="32"/>
      <w:szCs w:val="32"/>
    </w:rPr>
  </w:style>
  <w:style w:type="character" w:customStyle="1" w:styleId="37">
    <w:name w:val="标题 3 字符"/>
    <w:basedOn w:val="28"/>
    <w:link w:val="5"/>
    <w:qFormat/>
    <w:uiPriority w:val="9"/>
    <w:rPr>
      <w:rFonts w:ascii="黑体" w:hAnsi="黑体" w:eastAsia="黑体"/>
      <w:b/>
      <w:bCs/>
      <w:sz w:val="28"/>
      <w:szCs w:val="32"/>
    </w:rPr>
  </w:style>
  <w:style w:type="character" w:customStyle="1" w:styleId="38">
    <w:name w:val="标题 5 字符"/>
    <w:basedOn w:val="28"/>
    <w:link w:val="7"/>
    <w:semiHidden/>
    <w:qFormat/>
    <w:uiPriority w:val="9"/>
    <w:rPr>
      <w:b/>
      <w:bCs/>
      <w:kern w:val="2"/>
      <w:sz w:val="28"/>
      <w:szCs w:val="28"/>
    </w:rPr>
  </w:style>
  <w:style w:type="character" w:customStyle="1" w:styleId="39">
    <w:name w:val="文档结构图 字符"/>
    <w:basedOn w:val="28"/>
    <w:link w:val="10"/>
    <w:semiHidden/>
    <w:qFormat/>
    <w:uiPriority w:val="99"/>
    <w:rPr>
      <w:rFonts w:ascii="宋体" w:eastAsia="宋体"/>
      <w:sz w:val="18"/>
      <w:szCs w:val="18"/>
    </w:rPr>
  </w:style>
  <w:style w:type="character" w:customStyle="1" w:styleId="40">
    <w:name w:val="批注文字 字符"/>
    <w:basedOn w:val="28"/>
    <w:link w:val="11"/>
    <w:semiHidden/>
    <w:qFormat/>
    <w:uiPriority w:val="99"/>
  </w:style>
  <w:style w:type="character" w:customStyle="1" w:styleId="41">
    <w:name w:val="批注框文本 字符"/>
    <w:basedOn w:val="28"/>
    <w:link w:val="16"/>
    <w:semiHidden/>
    <w:qFormat/>
    <w:uiPriority w:val="99"/>
    <w:rPr>
      <w:sz w:val="18"/>
      <w:szCs w:val="18"/>
    </w:rPr>
  </w:style>
  <w:style w:type="character" w:customStyle="1" w:styleId="42">
    <w:name w:val="页脚 字符"/>
    <w:basedOn w:val="28"/>
    <w:link w:val="17"/>
    <w:qFormat/>
    <w:uiPriority w:val="99"/>
    <w:rPr>
      <w:sz w:val="18"/>
      <w:szCs w:val="18"/>
    </w:rPr>
  </w:style>
  <w:style w:type="character" w:customStyle="1" w:styleId="43">
    <w:name w:val="页眉 字符"/>
    <w:basedOn w:val="28"/>
    <w:link w:val="18"/>
    <w:qFormat/>
    <w:uiPriority w:val="99"/>
    <w:rPr>
      <w:sz w:val="18"/>
      <w:szCs w:val="18"/>
    </w:rPr>
  </w:style>
  <w:style w:type="paragraph" w:styleId="44">
    <w:name w:val="List Paragraph"/>
    <w:basedOn w:val="1"/>
    <w:qFormat/>
    <w:uiPriority w:val="34"/>
    <w:pPr>
      <w:ind w:firstLine="420" w:firstLineChars="200"/>
    </w:pPr>
  </w:style>
  <w:style w:type="paragraph" w:customStyle="1" w:styleId="45">
    <w:name w:val="Default"/>
    <w:qFormat/>
    <w:uiPriority w:val="0"/>
    <w:pPr>
      <w:widowControl w:val="0"/>
      <w:autoSpaceDE w:val="0"/>
      <w:autoSpaceDN w:val="0"/>
      <w:adjustRightInd w:val="0"/>
    </w:pPr>
    <w:rPr>
      <w:rFonts w:ascii="楷体" w:hAnsi="楷体" w:cs="楷体" w:eastAsiaTheme="minorEastAsia"/>
      <w:color w:val="000000"/>
      <w:sz w:val="24"/>
      <w:szCs w:val="24"/>
      <w:lang w:val="en-US" w:eastAsia="zh-CN" w:bidi="ar-SA"/>
    </w:rPr>
  </w:style>
  <w:style w:type="table" w:customStyle="1" w:styleId="46">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
    <w:name w:val="Subtle Reference"/>
    <w:basedOn w:val="28"/>
    <w:qFormat/>
    <w:uiPriority w:val="31"/>
    <w:rPr>
      <w:smallCaps/>
      <w:color w:val="595959" w:themeColor="text1" w:themeTint="A6"/>
      <w14:textFill>
        <w14:solidFill>
          <w14:schemeClr w14:val="tx1">
            <w14:lumMod w14:val="65000"/>
            <w14:lumOff w14:val="35000"/>
          </w14:schemeClr>
        </w14:solidFill>
      </w14:textFill>
    </w:rPr>
  </w:style>
  <w:style w:type="paragraph" w:customStyle="1" w:styleId="48">
    <w:name w:val="条标题"/>
    <w:basedOn w:val="5"/>
    <w:link w:val="49"/>
    <w:qFormat/>
    <w:uiPriority w:val="0"/>
    <w:pPr>
      <w:spacing w:before="120" w:after="0" w:line="560" w:lineRule="exact"/>
      <w:jc w:val="left"/>
    </w:pPr>
    <w:rPr>
      <w:rFonts w:ascii="黑体" w:hAnsi="宋体" w:eastAsia="黑体" w:cs="Times New Roman"/>
      <w:b w:val="0"/>
      <w:bCs w:val="0"/>
      <w:caps/>
      <w:sz w:val="30"/>
      <w:szCs w:val="30"/>
    </w:rPr>
  </w:style>
  <w:style w:type="character" w:customStyle="1" w:styleId="49">
    <w:name w:val="条标题 Char1"/>
    <w:link w:val="48"/>
    <w:qFormat/>
    <w:uiPriority w:val="0"/>
    <w:rPr>
      <w:rFonts w:ascii="黑体" w:hAnsi="宋体" w:eastAsia="黑体" w:cs="Times New Roman"/>
      <w:caps/>
      <w:kern w:val="2"/>
      <w:sz w:val="30"/>
      <w:szCs w:val="30"/>
    </w:rPr>
  </w:style>
  <w:style w:type="character" w:customStyle="1" w:styleId="50">
    <w:name w:val="fontstyle01"/>
    <w:basedOn w:val="28"/>
    <w:qFormat/>
    <w:uiPriority w:val="0"/>
    <w:rPr>
      <w:rFonts w:ascii="宋体" w:hAnsi="宋体" w:eastAsia="宋体" w:cs="宋体"/>
      <w:color w:val="000000"/>
      <w:sz w:val="24"/>
      <w:szCs w:val="24"/>
    </w:rPr>
  </w:style>
  <w:style w:type="paragraph" w:customStyle="1" w:styleId="51">
    <w:name w:val="正文文字"/>
    <w:basedOn w:val="1"/>
    <w:link w:val="52"/>
    <w:qFormat/>
    <w:uiPriority w:val="0"/>
    <w:pPr>
      <w:spacing w:line="560" w:lineRule="exact"/>
      <w:ind w:firstLine="600" w:firstLineChars="200"/>
    </w:pPr>
    <w:rPr>
      <w:rFonts w:ascii="仿宋" w:hAnsi="Calibri" w:eastAsia="仿宋" w:cs="仿宋"/>
      <w:sz w:val="30"/>
      <w:szCs w:val="30"/>
    </w:rPr>
  </w:style>
  <w:style w:type="character" w:customStyle="1" w:styleId="52">
    <w:name w:val="正文文字 Char"/>
    <w:basedOn w:val="28"/>
    <w:link w:val="51"/>
    <w:qFormat/>
    <w:uiPriority w:val="0"/>
    <w:rPr>
      <w:rFonts w:ascii="仿宋" w:hAnsi="Calibri" w:eastAsia="仿宋" w:cs="仿宋"/>
      <w:kern w:val="2"/>
      <w:sz w:val="30"/>
      <w:szCs w:val="30"/>
    </w:rPr>
  </w:style>
  <w:style w:type="paragraph" w:customStyle="1" w:styleId="53">
    <w:name w:val="A正文"/>
    <w:basedOn w:val="1"/>
    <w:link w:val="54"/>
    <w:qFormat/>
    <w:uiPriority w:val="0"/>
    <w:pPr>
      <w:spacing w:line="312" w:lineRule="auto"/>
      <w:ind w:firstLine="480" w:firstLineChars="200"/>
      <w:jc w:val="left"/>
    </w:pPr>
    <w:rPr>
      <w:rFonts w:ascii="Calibri" w:hAnsi="Calibri" w:eastAsia="宋体" w:cs="Times New Roman"/>
      <w:sz w:val="24"/>
      <w:szCs w:val="24"/>
      <w:lang w:val="zh-CN"/>
    </w:rPr>
  </w:style>
  <w:style w:type="character" w:customStyle="1" w:styleId="54">
    <w:name w:val="A正文 Char"/>
    <w:link w:val="53"/>
    <w:qFormat/>
    <w:uiPriority w:val="0"/>
    <w:rPr>
      <w:rFonts w:ascii="Calibri" w:hAnsi="Calibri" w:eastAsia="宋体" w:cs="Times New Roman"/>
      <w:kern w:val="2"/>
      <w:sz w:val="24"/>
      <w:szCs w:val="24"/>
      <w:lang w:val="zh-CN"/>
    </w:rPr>
  </w:style>
  <w:style w:type="character" w:customStyle="1" w:styleId="55">
    <w:name w:val="脚注文本 字符"/>
    <w:link w:val="21"/>
    <w:qFormat/>
    <w:locked/>
    <w:uiPriority w:val="99"/>
    <w:rPr>
      <w:rFonts w:ascii="宋体" w:hAnsi="Times New Roman" w:eastAsia="宋体" w:cs="Times New Roman"/>
      <w:color w:val="000000"/>
      <w:sz w:val="18"/>
      <w:szCs w:val="18"/>
      <w:lang w:val="en-GB"/>
    </w:rPr>
  </w:style>
  <w:style w:type="character" w:customStyle="1" w:styleId="56">
    <w:name w:val="脚注文本 Char"/>
    <w:basedOn w:val="28"/>
    <w:semiHidden/>
    <w:qFormat/>
    <w:uiPriority w:val="99"/>
    <w:rPr>
      <w:kern w:val="2"/>
      <w:sz w:val="18"/>
      <w:szCs w:val="18"/>
    </w:rPr>
  </w:style>
  <w:style w:type="paragraph" w:customStyle="1" w:styleId="57">
    <w:name w:val="正文1"/>
    <w:basedOn w:val="1"/>
    <w:qFormat/>
    <w:uiPriority w:val="0"/>
    <w:pPr>
      <w:adjustRightInd w:val="0"/>
      <w:snapToGrid w:val="0"/>
      <w:ind w:firstLine="540"/>
    </w:pPr>
    <w:rPr>
      <w:rFonts w:ascii="Times New Roman" w:hAnsi="Times New Roman" w:eastAsia="仿宋_GB2312" w:cs="Times New Roman"/>
      <w:sz w:val="28"/>
      <w:szCs w:val="20"/>
    </w:rPr>
  </w:style>
  <w:style w:type="paragraph" w:customStyle="1" w:styleId="58">
    <w:name w:val="样式 样式 (中文) 仿宋_GB2312 三号 行距: 最小值 28 磅 首行缩进:  2 字符 + 首行缩进:  2 字符"/>
    <w:basedOn w:val="1"/>
    <w:qFormat/>
    <w:uiPriority w:val="0"/>
    <w:pPr>
      <w:spacing w:line="560" w:lineRule="atLeast"/>
      <w:ind w:firstLine="600" w:firstLineChars="200"/>
    </w:pPr>
    <w:rPr>
      <w:rFonts w:ascii="Times New Roman" w:hAnsi="Times New Roman" w:eastAsia="仿宋_GB2312" w:cs="宋体"/>
      <w:kern w:val="0"/>
      <w:sz w:val="28"/>
      <w:szCs w:val="20"/>
    </w:rPr>
  </w:style>
  <w:style w:type="character" w:customStyle="1" w:styleId="59">
    <w:name w:val="标题-正文 Char"/>
    <w:link w:val="60"/>
    <w:qFormat/>
    <w:uiPriority w:val="0"/>
    <w:rPr>
      <w:sz w:val="24"/>
      <w:szCs w:val="24"/>
    </w:rPr>
  </w:style>
  <w:style w:type="paragraph" w:customStyle="1" w:styleId="60">
    <w:name w:val="标题-正文"/>
    <w:basedOn w:val="1"/>
    <w:link w:val="59"/>
    <w:qFormat/>
    <w:uiPriority w:val="0"/>
    <w:pPr>
      <w:adjustRightInd w:val="0"/>
      <w:snapToGrid w:val="0"/>
      <w:spacing w:line="500" w:lineRule="exact"/>
      <w:ind w:firstLine="200" w:firstLineChars="200"/>
    </w:pPr>
    <w:rPr>
      <w:kern w:val="0"/>
      <w:sz w:val="24"/>
      <w:szCs w:val="24"/>
    </w:rPr>
  </w:style>
  <w:style w:type="table" w:customStyle="1" w:styleId="61">
    <w:name w:val="网格型浅色2"/>
    <w:basedOn w:val="26"/>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font5"/>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4">
    <w:name w:val="font6"/>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65">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6">
    <w:name w:val="font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67">
    <w:name w:val="font9"/>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68">
    <w:name w:val="xl204"/>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69">
    <w:name w:val="xl205"/>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70">
    <w:name w:val="xl206"/>
    <w:basedOn w:val="1"/>
    <w:qFormat/>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71">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3">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4">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75">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8">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9">
    <w:name w:val="xl215"/>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81">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2">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83">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84">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5">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6">
    <w:name w:val="xl222"/>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87">
    <w:name w:val="xl223"/>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8">
    <w:name w:val="xl224"/>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89">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0">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1">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2">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3">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4">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5">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6">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7">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98">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9">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0">
    <w:name w:val="xl2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1">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2">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3">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4">
    <w:name w:val="xl2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5">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6">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07">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xl2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09">
    <w:name w:val="xl2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10">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1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3">
    <w:name w:val="font12"/>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5">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6">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7">
    <w:name w:val="xl2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8">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9">
    <w:name w:val="xl2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0">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1">
    <w:name w:val="xl2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2">
    <w:name w:val="xl2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3">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4">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6">
    <w:name w:val="xl25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7">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2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0">
    <w:name w:val="xl263"/>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1">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2">
    <w:name w:val="xl26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66"/>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26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5">
    <w:name w:val="xl2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6">
    <w:name w:val="xl2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18"/>
      <w:szCs w:val="18"/>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14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142">
    <w:name w:val="xl7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14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14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145">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18"/>
      <w:szCs w:val="18"/>
    </w:rPr>
  </w:style>
  <w:style w:type="character" w:customStyle="1" w:styleId="146">
    <w:name w:val="未处理的提及1"/>
    <w:basedOn w:val="28"/>
    <w:semiHidden/>
    <w:unhideWhenUsed/>
    <w:qFormat/>
    <w:uiPriority w:val="99"/>
    <w:rPr>
      <w:color w:val="605E5C"/>
      <w:shd w:val="clear" w:color="auto" w:fill="E1DFDD"/>
    </w:rPr>
  </w:style>
  <w:style w:type="character" w:customStyle="1" w:styleId="147">
    <w:name w:val="标题 4 字符"/>
    <w:basedOn w:val="28"/>
    <w:link w:val="6"/>
    <w:qFormat/>
    <w:uiPriority w:val="9"/>
    <w:rPr>
      <w:rFonts w:ascii="黑体" w:hAnsi="黑体" w:eastAsia="黑体" w:cstheme="majorBidi"/>
      <w:b/>
      <w:bCs/>
      <w:kern w:val="2"/>
      <w:sz w:val="28"/>
      <w:szCs w:val="28"/>
    </w:rPr>
  </w:style>
  <w:style w:type="paragraph" w:customStyle="1" w:styleId="148">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49">
    <w:name w:val="_Style 1"/>
    <w:basedOn w:val="1"/>
    <w:qFormat/>
    <w:uiPriority w:val="0"/>
    <w:pPr>
      <w:ind w:firstLine="420" w:firstLineChars="200"/>
    </w:pPr>
    <w:rPr>
      <w:rFonts w:ascii="Calibri" w:hAnsi="Calibri" w:eastAsia="宋体" w:cs="Times New Roman"/>
      <w:szCs w:val="24"/>
    </w:rPr>
  </w:style>
  <w:style w:type="paragraph" w:customStyle="1" w:styleId="150">
    <w:name w:val="Table Paragraph"/>
    <w:qFormat/>
    <w:uiPriority w:val="1"/>
    <w:pPr>
      <w:widowControl w:val="0"/>
      <w:autoSpaceDE w:val="0"/>
      <w:autoSpaceDN w:val="0"/>
      <w:spacing w:before="0" w:after="0" w:line="240" w:lineRule="auto"/>
      <w:ind w:left="0" w:right="0"/>
      <w:jc w:val="center"/>
    </w:pPr>
    <w:rPr>
      <w:rFonts w:ascii="仿宋" w:hAnsi="仿宋" w:eastAsia="仿宋" w:cs="仿宋"/>
      <w:sz w:val="22"/>
      <w:szCs w:val="22"/>
      <w:lang w:val="zh-CN" w:eastAsia="zh-CN" w:bidi="zh-CN"/>
    </w:rPr>
  </w:style>
  <w:style w:type="paragraph" w:customStyle="1" w:styleId="151">
    <w:name w:val="正文样式"/>
    <w:qFormat/>
    <w:uiPriority w:val="0"/>
    <w:pPr>
      <w:spacing w:line="400" w:lineRule="exact"/>
      <w:ind w:firstLine="420" w:firstLineChars="200"/>
      <w:jc w:val="both"/>
    </w:pPr>
    <w:rPr>
      <w:rFonts w:ascii="华文细黑" w:hAnsi="华文细黑" w:eastAsia="华文细黑" w:cs="Times New Roman"/>
      <w:kern w:val="2"/>
      <w:sz w:val="21"/>
      <w:szCs w:val="22"/>
      <w:lang w:val="en-US" w:eastAsia="zh-CN" w:bidi="ar-SA"/>
    </w:rPr>
  </w:style>
  <w:style w:type="paragraph" w:customStyle="1" w:styleId="152">
    <w:name w:val="表标题"/>
    <w:qFormat/>
    <w:uiPriority w:val="0"/>
    <w:pPr>
      <w:widowControl w:val="0"/>
      <w:tabs>
        <w:tab w:val="left" w:pos="3402"/>
      </w:tabs>
      <w:jc w:val="center"/>
    </w:pPr>
    <w:rPr>
      <w:rFonts w:ascii="华文细黑" w:hAnsi="华文细黑" w:eastAsia="华文细黑" w:cs="Times New Roman"/>
      <w:b/>
      <w:kern w:val="2"/>
      <w:sz w:val="18"/>
      <w:szCs w:val="20"/>
      <w:lang w:val="en-US" w:eastAsia="zh-CN" w:bidi="ar-SA"/>
    </w:rPr>
  </w:style>
  <w:style w:type="paragraph" w:customStyle="1" w:styleId="153">
    <w:name w:val="表格标题栏"/>
    <w:qFormat/>
    <w:uiPriority w:val="0"/>
    <w:pPr>
      <w:widowControl w:val="0"/>
      <w:jc w:val="center"/>
    </w:pPr>
    <w:rPr>
      <w:rFonts w:ascii="华文细黑" w:hAnsi="Times New Roman" w:eastAsia="华文细黑" w:cs="Times New Roman"/>
      <w:b/>
      <w:kern w:val="2"/>
      <w:sz w:val="18"/>
      <w:szCs w:val="18"/>
      <w:lang w:val="en-US" w:eastAsia="zh-CN" w:bidi="ar-SA"/>
    </w:rPr>
  </w:style>
  <w:style w:type="paragraph" w:customStyle="1" w:styleId="154">
    <w:name w:val="表格样式"/>
    <w:qFormat/>
    <w:uiPriority w:val="0"/>
    <w:pPr>
      <w:widowControl w:val="0"/>
      <w:jc w:val="center"/>
    </w:pPr>
    <w:rPr>
      <w:rFonts w:ascii="华文细黑" w:hAnsi="Times New Roman" w:eastAsia="华文细黑"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D8969-155B-4051-A52A-7788BD440E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2321</Words>
  <Characters>13233</Characters>
  <Lines>110</Lines>
  <Paragraphs>31</Paragraphs>
  <TotalTime>0</TotalTime>
  <ScaleCrop>false</ScaleCrop>
  <LinksUpToDate>false</LinksUpToDate>
  <CharactersWithSpaces>15523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2021-05-26T07:33:00Z</dcterms:created>
  <dc:creator>zfs</dc:creator>
  <cp:lastModifiedBy>康明</cp:lastModifiedBy>
  <cp:lastPrinted>2021-03-22T01:51:00Z</cp:lastPrinted>
  <dcterms:modified xsi:type="dcterms:W3CDTF">2021-11-15T08:23:11Z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0153BEA55DB34246A4AA020593F43C29</vt:lpwstr>
  </property>
</Properties>
</file>