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121212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21212"/>
          <w:spacing w:val="0"/>
          <w:sz w:val="44"/>
          <w:szCs w:val="44"/>
          <w:shd w:val="clear" w:color="auto" w:fill="FFFFFF"/>
          <w:lang w:eastAsia="zh-CN"/>
        </w:rPr>
        <w:t>桦南县营商局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21212"/>
          <w:spacing w:val="0"/>
          <w:sz w:val="44"/>
          <w:szCs w:val="44"/>
          <w:shd w:val="clear" w:color="auto" w:fill="FFFFFF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21212"/>
          <w:spacing w:val="0"/>
          <w:sz w:val="44"/>
          <w:szCs w:val="44"/>
          <w:shd w:val="clear" w:color="auto" w:fill="FFFFFF"/>
        </w:rPr>
        <w:t>年信息公开工作年度报告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21212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本报告内容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主要包括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总体情况，营商局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主动公开信息情况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行政复议、提起行政诉讼情况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、营商局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信息公开工作存在的主要问题及改进情况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其他需要报告的事项等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几个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方面。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如对报告有疑问，请与桦南县营商局办公室联系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桦南县营商局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坚持“公开为常态、不公开为例外”的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基本原则，全面科学编制本报告。加强政务公开平台的规范化建设，借助“互联网+政务服务”更好的保护人民群众的知情权、参与权、监督权，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确保公开的信息科学、准确、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简洁、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真实、有效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2020年主动公开政务服务事项17条，全部实行网上在线办理。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72" w:firstLineChars="200"/>
        <w:jc w:val="both"/>
        <w:textAlignment w:val="auto"/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72" w:firstLineChars="200"/>
        <w:jc w:val="both"/>
        <w:textAlignment w:val="auto"/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5"/>
        <w:tblW w:w="91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72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5"/>
        <w:tblW w:w="94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72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color="auto" w:fill="FFFFFF"/>
          <w:lang w:eastAsia="zh-CN"/>
        </w:rPr>
        <w:t>政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color="auto" w:fill="FFFFFF"/>
        </w:rPr>
        <w:t>务公开工作人员业务素质整体水平有待提高，政务公开平台建设有待继续加强。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8"/>
          <w:sz w:val="32"/>
          <w:szCs w:val="32"/>
          <w:shd w:val="clear" w:color="auto" w:fill="FFFFFF"/>
        </w:rPr>
        <w:t>部分信息公开不及时,未能全部按照时间节点公开。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72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3D3D3D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color="auto" w:fill="FFFFFF"/>
          <w:lang w:eastAsia="zh-CN"/>
        </w:rPr>
        <w:t>改进情况：在营商局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color="auto" w:fill="FFFFFF"/>
        </w:rPr>
        <w:t>信息公开工作基础上,不断总结经验,确保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color="auto" w:fill="FFFFFF"/>
          <w:lang w:eastAsia="zh-CN"/>
        </w:rPr>
        <w:t>营商局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color="auto" w:fill="FFFFFF"/>
        </w:rPr>
        <w:t>信息公开工作制度化、规范化发展,做到深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8"/>
          <w:sz w:val="32"/>
          <w:szCs w:val="32"/>
          <w:shd w:val="clear" w:color="auto" w:fill="FFFFFF"/>
        </w:rPr>
        <w:t>入、持续、高效地开展政府信息公开工作。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72"/>
        <w:jc w:val="both"/>
        <w:textAlignment w:val="auto"/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72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无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桦南县营商局</w:t>
      </w:r>
    </w:p>
    <w:p>
      <w:pPr>
        <w:ind w:firstLine="640" w:firstLineChars="200"/>
        <w:jc w:val="right"/>
        <w:rPr>
          <w:rFonts w:hint="default" w:ascii="仿宋_GB2312" w:hAnsi="仿宋_GB2312" w:eastAsia="仿宋_GB2312" w:cs="仿宋_GB2312"/>
          <w:i w:val="0"/>
          <w: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2020年1月19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BAA8BF"/>
    <w:multiLevelType w:val="singleLevel"/>
    <w:tmpl w:val="D7BAA8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67409"/>
    <w:rsid w:val="1C51782C"/>
    <w:rsid w:val="233F6018"/>
    <w:rsid w:val="2B607C6B"/>
    <w:rsid w:val="39F65902"/>
    <w:rsid w:val="4CEB14A7"/>
    <w:rsid w:val="54AD6BAC"/>
    <w:rsid w:val="618C0A9A"/>
    <w:rsid w:val="75093508"/>
    <w:rsid w:val="7B9C060D"/>
    <w:rsid w:val="7E72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2021-01-08T01:01:00Z</dcterms:created>
  <dc:creator>Administrator</dc:creator>
  <cp:lastModifiedBy>nong7273059945</cp:lastModifiedBy>
  <dcterms:modified xsi:type="dcterms:W3CDTF">2021-01-20T08:41:15Z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