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highlight w:val="none"/>
          <w:lang w:val="en-US" w:eastAsia="zh-CN"/>
        </w:rPr>
      </w:pPr>
      <w:bookmarkStart w:id="0" w:name="_GoBack"/>
      <w:bookmarkEnd w:id="0"/>
      <w:r>
        <w:rPr>
          <w:rFonts w:hint="default" w:ascii="Times New Roman" w:hAnsi="Times New Roman" w:eastAsia="方正小标宋简体" w:cs="Times New Roman"/>
          <w:color w:val="auto"/>
          <w:sz w:val="44"/>
          <w:szCs w:val="44"/>
          <w:highlight w:val="none"/>
          <w:lang w:val="en-US" w:eastAsia="zh-CN"/>
        </w:rPr>
        <w:t>桦南县“十四五”黑土地保护规划</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rPr>
        <w:t>　</w:t>
      </w:r>
      <w:r>
        <w:rPr>
          <w:rFonts w:hint="eastAsia"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黑土地是珍贵的土壤资源，黑土耕地是重要的农业资源和生产要素，桦南县地形西部为平原，东部为丘陵漫岗，地貌特征有“五山半水四分田，半分道路和庄园”的美誉。主要土壤类型以黑土、暗棕壤、草甸土和白浆土四大土类为主。县域中部、西部和西南部是黑土的主要分布区，也是桦南县耕地连片集中区域，区域内土壤类型主要以黑土、草甸土为主，这两类土壤黑土层较厚，基础地力较好，是桦南县耕地土壤的主要构成土类。其中黑土类耕地占耕地面积的60%以上，担负着确保国家粮食安全的重任。为保护好利用好桦南县黑土地，巩固提升农田系统、资源利用、生态环境和生产能力的可持续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依据《中华人民共和国黑土地保护法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黑龙江省耕地保护条例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等法律法规，</w:t>
      </w:r>
      <w:r>
        <w:rPr>
          <w:rFonts w:hint="default" w:ascii="Times New Roman" w:hAnsi="Times New Roman" w:eastAsia="仿宋_GB2312" w:cs="Times New Roman"/>
          <w:color w:val="auto"/>
          <w:kern w:val="0"/>
          <w:sz w:val="32"/>
          <w:szCs w:val="32"/>
          <w:lang w:val="en-US" w:eastAsia="zh-CN"/>
        </w:rPr>
        <w:t>根据《国家黑土地保护工程实施方案（2021—2025年）》和《黑龙江省“十四五”黑土地保护规划》，制定本规划。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一、“十三五”</w:t>
      </w:r>
      <w:r>
        <w:rPr>
          <w:rFonts w:hint="default" w:ascii="Times New Roman" w:hAnsi="Times New Roman" w:eastAsia="黑体" w:cs="Times New Roman"/>
          <w:color w:val="000000" w:themeColor="text1"/>
          <w:sz w:val="32"/>
          <w:szCs w:val="32"/>
          <w:lang w:eastAsia="zh-CN"/>
          <w14:textFill>
            <w14:solidFill>
              <w14:schemeClr w14:val="tx1"/>
            </w14:solidFill>
          </w14:textFill>
        </w:rPr>
        <w:t>期间取得</w:t>
      </w:r>
      <w:r>
        <w:rPr>
          <w:rFonts w:hint="default" w:ascii="Times New Roman" w:hAnsi="Times New Roman" w:eastAsia="黑体" w:cs="Times New Roman"/>
          <w:color w:val="000000" w:themeColor="text1"/>
          <w:sz w:val="32"/>
          <w:szCs w:val="32"/>
          <w14:textFill>
            <w14:solidFill>
              <w14:schemeClr w14:val="tx1"/>
            </w14:solidFill>
          </w14:textFill>
        </w:rPr>
        <w:t>工作成</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“十三五”时</w:t>
      </w:r>
      <w:r>
        <w:rPr>
          <w:rFonts w:hint="default" w:ascii="Times New Roman" w:hAnsi="Times New Roman" w:eastAsia="仿宋_GB2312" w:cs="Times New Roman"/>
          <w:color w:val="auto"/>
          <w:sz w:val="32"/>
          <w:szCs w:val="32"/>
        </w:rPr>
        <w:t>期，我</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大力实施“藏粮于地、藏粮于技”战略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综合运用工程、农艺、农机、生物等措施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形成了黑土地“数量、质量、生态”三位一体的保护格局。坚持用地与养地相结合，着力提升黑土耕地质量，取得较好成效。全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黑土耕地</w:t>
      </w:r>
      <w:r>
        <w:rPr>
          <w:rFonts w:hint="default" w:ascii="Times New Roman" w:hAnsi="Times New Roman" w:eastAsia="仿宋_GB2312" w:cs="Times New Roman"/>
          <w:color w:val="auto"/>
          <w:sz w:val="32"/>
          <w:szCs w:val="32"/>
          <w:lang w:eastAsia="zh-CN"/>
        </w:rPr>
        <w:t>面积稳定，</w:t>
      </w:r>
      <w:r>
        <w:rPr>
          <w:rFonts w:hint="default" w:ascii="Times New Roman" w:hAnsi="Times New Roman" w:eastAsia="仿宋_GB2312" w:cs="Times New Roman"/>
          <w:color w:val="auto"/>
          <w:sz w:val="32"/>
          <w:szCs w:val="32"/>
        </w:rPr>
        <w:t>质量等级平均为</w:t>
      </w:r>
      <w:r>
        <w:rPr>
          <w:rFonts w:hint="default" w:ascii="Times New Roman" w:hAnsi="Times New Roman" w:eastAsia="仿宋_GB2312" w:cs="Times New Roman"/>
          <w:color w:val="auto"/>
          <w:sz w:val="32"/>
          <w:szCs w:val="32"/>
          <w:lang w:val="en-US" w:eastAsia="zh-CN"/>
        </w:rPr>
        <w:t>3.94</w:t>
      </w:r>
      <w:r>
        <w:rPr>
          <w:rFonts w:hint="default" w:ascii="Times New Roman" w:hAnsi="Times New Roman" w:eastAsia="仿宋_GB2312" w:cs="Times New Roman"/>
          <w:color w:val="auto"/>
          <w:sz w:val="32"/>
          <w:szCs w:val="32"/>
        </w:rPr>
        <w:t>等，土壤有机质平均含量</w:t>
      </w:r>
      <w:r>
        <w:rPr>
          <w:rFonts w:hint="default" w:ascii="Times New Roman" w:hAnsi="Times New Roman" w:eastAsia="仿宋_GB2312" w:cs="Times New Roman"/>
          <w:color w:val="auto"/>
          <w:sz w:val="32"/>
          <w:szCs w:val="32"/>
          <w:lang w:val="en-US" w:eastAsia="zh-CN"/>
        </w:rPr>
        <w:t>34.9</w:t>
      </w:r>
      <w:r>
        <w:rPr>
          <w:rFonts w:hint="default" w:ascii="Times New Roman" w:hAnsi="Times New Roman" w:eastAsia="仿宋_GB2312" w:cs="Times New Roman"/>
          <w:color w:val="auto"/>
          <w:sz w:val="32"/>
          <w:szCs w:val="32"/>
        </w:rPr>
        <w:t>克/千克；秸秆翻埋还田或深松地块耕层厚度达到30厘米以上。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）建立黑土地保护长效机制。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认真学习贯彻《黑龙江省黑土耕地保护三年行动计划（2018—2020年）》文件精神，</w:t>
      </w:r>
      <w:r>
        <w:rPr>
          <w:rFonts w:hint="default" w:ascii="Times New Roman" w:hAnsi="Times New Roman" w:eastAsia="仿宋_GB2312" w:cs="Times New Roman"/>
          <w:color w:val="000000" w:themeColor="text1"/>
          <w:sz w:val="32"/>
          <w:szCs w:val="32"/>
          <w14:textFill>
            <w14:solidFill>
              <w14:schemeClr w14:val="tx1"/>
            </w14:solidFill>
          </w14:textFill>
        </w:rPr>
        <w:t>编制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桦南县</w:t>
      </w:r>
      <w:r>
        <w:rPr>
          <w:rFonts w:hint="default" w:ascii="Times New Roman" w:hAnsi="Times New Roman" w:eastAsia="仿宋_GB2312" w:cs="Times New Roman"/>
          <w:color w:val="000000" w:themeColor="text1"/>
          <w:sz w:val="32"/>
          <w:szCs w:val="32"/>
          <w14:textFill>
            <w14:solidFill>
              <w14:schemeClr w14:val="tx1"/>
            </w14:solidFill>
          </w14:textFill>
        </w:rPr>
        <w:t>黑土耕地保护三年行动计划（2018—2020年）》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auto"/>
          <w:kern w:val="0"/>
          <w:sz w:val="32"/>
          <w:szCs w:val="32"/>
          <w:lang w:val="en-US" w:eastAsia="zh-CN"/>
        </w:rPr>
        <w:t>根据《国家黑土地保护工程实施方案（2021—2025年）》文件精神，编制《桦南县黑土地保护工程实施方案（2021—2025年）》，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并</w:t>
      </w:r>
      <w:r>
        <w:rPr>
          <w:rFonts w:hint="default" w:ascii="Times New Roman" w:hAnsi="Times New Roman" w:eastAsia="仿宋_GB2312" w:cs="Times New Roman"/>
          <w:color w:val="000000" w:themeColor="text1"/>
          <w:sz w:val="32"/>
          <w:szCs w:val="32"/>
          <w14:textFill>
            <w14:solidFill>
              <w14:schemeClr w14:val="tx1"/>
            </w14:solidFill>
          </w14:textFill>
        </w:rPr>
        <w:t>成立</w:t>
      </w:r>
      <w:r>
        <w:rPr>
          <w:rFonts w:hint="default" w:ascii="Times New Roman" w:hAnsi="Times New Roman" w:eastAsia="仿宋_GB2312" w:cs="Times New Roman"/>
          <w:color w:val="auto"/>
          <w:kern w:val="0"/>
          <w:sz w:val="32"/>
          <w:szCs w:val="32"/>
          <w:lang w:val="en-US" w:eastAsia="zh-CN"/>
        </w:rPr>
        <w:t>桦南县黑土地保护工程推进落实领导小组</w:t>
      </w:r>
      <w:r>
        <w:rPr>
          <w:rFonts w:hint="default" w:ascii="Times New Roman" w:hAnsi="Times New Roman" w:eastAsia="仿宋_GB2312" w:cs="Times New Roman"/>
          <w:color w:val="000000" w:themeColor="text1"/>
          <w:sz w:val="32"/>
          <w:szCs w:val="32"/>
          <w14:textFill>
            <w14:solidFill>
              <w14:schemeClr w14:val="tx1"/>
            </w14:solidFill>
          </w14:textFill>
        </w:rPr>
        <w:t>，加强对黑土地保护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和利用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全力开创我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黑土地保护和农业持续稳产高产新局面。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微软雅黑" w:cs="Times New Roman"/>
          <w:caps w:val="0"/>
          <w:color w:val="FF0000"/>
          <w:spacing w:val="0"/>
          <w:sz w:val="32"/>
          <w:szCs w:val="32"/>
          <w:highlight w:val="none"/>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（二）维持黑土地总体数量不变。</w:t>
      </w:r>
      <w:r>
        <w:rPr>
          <w:rFonts w:hint="default" w:ascii="Times New Roman" w:hAnsi="Times New Roman" w:eastAsia="仿宋_GB2312" w:cs="Times New Roman"/>
          <w:color w:val="000000" w:themeColor="text1"/>
          <w:sz w:val="32"/>
          <w:szCs w:val="32"/>
          <w14:textFill>
            <w14:solidFill>
              <w14:schemeClr w14:val="tx1"/>
            </w14:solidFill>
          </w14:textFill>
        </w:rPr>
        <w:t>严守耕地保护红线，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土地利用总体规划管控和土地用途管制，坚决遏制耕地“非农化”、防止“非粮化”。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桦南县耕地面积242794.22公顷（其中县属耕地面积214316.42公顷）；桦南县县属永久基本农田划定面积158561.16公顷。目前已经完成划定粮食生产功能区和重要农产品生产保护区（以下简称“两区”）220万亩。</w:t>
      </w:r>
      <w:r>
        <w:rPr>
          <w:rFonts w:hint="default" w:ascii="Times New Roman" w:hAnsi="Times New Roman" w:eastAsia="仿宋_GB2312" w:cs="Times New Roman"/>
          <w:color w:val="000000" w:themeColor="text1"/>
          <w:sz w:val="32"/>
          <w:szCs w:val="32"/>
          <w14:textFill>
            <w14:solidFill>
              <w14:schemeClr w14:val="tx1"/>
            </w14:solidFill>
          </w14:textFill>
        </w:rPr>
        <w:t>严格核定新增建设用地指标，按照“先补后占和占一补一、占优补优、占水田补水田”的原则，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确保了补充耕地的数量和质量。</w:t>
      </w:r>
      <w:r>
        <w:rPr>
          <w:rFonts w:hint="default" w:ascii="Times New Roman" w:hAnsi="Times New Roman" w:eastAsia="仿宋_GB2312" w:cs="Times New Roman"/>
          <w:color w:val="000000" w:themeColor="text1"/>
          <w:sz w:val="32"/>
          <w:szCs w:val="32"/>
          <w14:textFill>
            <w14:solidFill>
              <w14:schemeClr w14:val="tx1"/>
            </w14:solidFill>
          </w14:textFill>
        </w:rPr>
        <w:t>严格规范耕地占补平衡，严格控制非农业建设占用耕地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（三）加强农田基础设施建设。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以“两区”（粮食生产功能区和重要农产品生产保护区）为重点，加快高标准农田建设，截至2020年底，全县累计建成高标准农田66.57万亩。</w:t>
      </w:r>
      <w:r>
        <w:rPr>
          <w:rFonts w:hint="default" w:ascii="Times New Roman" w:hAnsi="Times New Roman" w:eastAsia="仿宋_GB2312" w:cs="Times New Roman"/>
          <w:color w:val="000000" w:themeColor="text1"/>
          <w:sz w:val="32"/>
          <w:szCs w:val="32"/>
          <w14:textFill>
            <w14:solidFill>
              <w14:schemeClr w14:val="tx1"/>
            </w14:solidFill>
          </w14:textFill>
        </w:rPr>
        <w:t>加强小流域综合治理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坚持“因地制宜、因害设防、先上后下、先坡后沟、沟坡兼治”原则，以小流域为单元，实施水土流失综合治理。优化配置工程措施、生物措施、农业技术和管理措施，改善小流域农田生态系统，提高黑土地生产能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加强高效节水灌溉建设，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农田有效灌溉面积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78.07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（四）完善黑土耕地保护模式。</w:t>
      </w:r>
      <w:r>
        <w:rPr>
          <w:rFonts w:hint="default" w:ascii="Times New Roman" w:hAnsi="Times New Roman" w:eastAsia="仿宋_GB2312" w:cs="Times New Roman"/>
          <w:color w:val="000000" w:themeColor="text1"/>
          <w:sz w:val="32"/>
          <w:szCs w:val="32"/>
          <w14:textFill>
            <w14:solidFill>
              <w14:schemeClr w14:val="tx1"/>
            </w14:solidFill>
          </w14:textFill>
        </w:rPr>
        <w:t>大力推进科学轮耕制度，旱田平均每三年深松一次。把秸秆还田作为提升黑土耕地地力的重要措施，旱田以“一翻两免”为重点，根据不同积温条件和土壤类型，因地制宜形成了翻埋、碎混、覆盖等三种秸秆还田方式；水田以“一翻两旋”为重点，形成翻埋、旋耕和原茬搅浆等三种秸秆还田技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2020年全县秸秆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综合利用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率达到93%以上，坚持农机农艺融合，装备100马力以上大型拖拉机568台，实施耕地轮作休耕试点面积18.28万亩。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让黑土地休养生息，恢复元气，促进农业可持续发展。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（五）强化农业面源污染防治。</w:t>
      </w:r>
      <w:r>
        <w:rPr>
          <w:rFonts w:hint="default" w:ascii="Times New Roman" w:hAnsi="Times New Roman" w:eastAsia="仿宋_GB2312" w:cs="Times New Roman"/>
          <w:color w:val="000000" w:themeColor="text1"/>
          <w:sz w:val="32"/>
          <w:szCs w:val="32"/>
          <w14:textFill>
            <w14:solidFill>
              <w14:schemeClr w14:val="tx1"/>
            </w14:solidFill>
          </w14:textFill>
        </w:rPr>
        <w:t>持续开展化肥农药减量增效行动，大力推广测土配方施肥，强化化肥农药科学使用，改进施肥方式方法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集成推广高效施肥、绿色防控技术。加强重大病虫监测网络</w:t>
      </w:r>
      <w:r>
        <w:rPr>
          <w:rFonts w:hint="default" w:ascii="Times New Roman" w:hAnsi="Times New Roman" w:eastAsia="仿宋_GB2312" w:cs="Times New Roman"/>
          <w:color w:val="auto"/>
          <w:sz w:val="32"/>
          <w:szCs w:val="32"/>
        </w:rPr>
        <w:t>体系建设，推广现代植保装备，推进病虫害统防统治和绿色防控。</w:t>
      </w:r>
      <w:r>
        <w:rPr>
          <w:rFonts w:hint="default" w:ascii="Times New Roman" w:hAnsi="Times New Roman" w:eastAsia="仿宋_GB2312" w:cs="Times New Roman"/>
          <w:caps w:val="0"/>
          <w:color w:val="auto"/>
          <w:spacing w:val="0"/>
          <w:sz w:val="32"/>
          <w:szCs w:val="32"/>
          <w:highlight w:val="none"/>
          <w:shd w:val="clear" w:color="auto" w:fill="FFFFFF"/>
        </w:rPr>
        <w:t>截至2020年底，全</w:t>
      </w:r>
      <w:r>
        <w:rPr>
          <w:rFonts w:hint="default" w:ascii="Times New Roman" w:hAnsi="Times New Roman" w:eastAsia="仿宋_GB2312" w:cs="Times New Roman"/>
          <w:caps w:val="0"/>
          <w:color w:val="auto"/>
          <w:spacing w:val="0"/>
          <w:sz w:val="32"/>
          <w:szCs w:val="32"/>
          <w:highlight w:val="none"/>
          <w:shd w:val="clear" w:color="auto" w:fill="FFFFFF"/>
          <w:lang w:eastAsia="zh-CN"/>
        </w:rPr>
        <w:t>县</w:t>
      </w:r>
      <w:r>
        <w:rPr>
          <w:rFonts w:hint="default" w:ascii="Times New Roman" w:hAnsi="Times New Roman" w:eastAsia="仿宋_GB2312" w:cs="Times New Roman"/>
          <w:caps w:val="0"/>
          <w:color w:val="auto"/>
          <w:spacing w:val="0"/>
          <w:sz w:val="32"/>
          <w:szCs w:val="32"/>
          <w:highlight w:val="none"/>
          <w:shd w:val="clear" w:color="auto" w:fill="FFFFFF"/>
        </w:rPr>
        <w:t>测土配方施肥累计推广面积</w:t>
      </w:r>
      <w:r>
        <w:rPr>
          <w:rFonts w:hint="default" w:ascii="Times New Roman" w:hAnsi="Times New Roman" w:eastAsia="仿宋_GB2312" w:cs="Times New Roman"/>
          <w:caps w:val="0"/>
          <w:color w:val="auto"/>
          <w:spacing w:val="0"/>
          <w:sz w:val="32"/>
          <w:szCs w:val="32"/>
          <w:highlight w:val="none"/>
          <w:shd w:val="clear" w:color="auto" w:fill="FFFFFF"/>
          <w:lang w:val="en-US" w:eastAsia="zh-CN"/>
        </w:rPr>
        <w:t>441</w:t>
      </w:r>
      <w:r>
        <w:rPr>
          <w:rFonts w:hint="default" w:ascii="Times New Roman" w:hAnsi="Times New Roman" w:eastAsia="仿宋_GB2312" w:cs="Times New Roman"/>
          <w:caps w:val="0"/>
          <w:color w:val="auto"/>
          <w:spacing w:val="0"/>
          <w:sz w:val="32"/>
          <w:szCs w:val="32"/>
          <w:highlight w:val="none"/>
          <w:shd w:val="clear" w:color="auto" w:fill="FFFFFF"/>
          <w:lang w:eastAsia="zh-CN"/>
        </w:rPr>
        <w:t>万</w:t>
      </w:r>
      <w:r>
        <w:rPr>
          <w:rFonts w:hint="default" w:ascii="Times New Roman" w:hAnsi="Times New Roman" w:eastAsia="仿宋_GB2312" w:cs="Times New Roman"/>
          <w:caps w:val="0"/>
          <w:color w:val="auto"/>
          <w:spacing w:val="0"/>
          <w:sz w:val="32"/>
          <w:szCs w:val="32"/>
          <w:highlight w:val="none"/>
          <w:shd w:val="clear" w:color="auto" w:fill="FFFFFF"/>
        </w:rPr>
        <w:t>亩，覆盖率达到</w:t>
      </w:r>
      <w:r>
        <w:rPr>
          <w:rFonts w:hint="default" w:ascii="Times New Roman" w:hAnsi="Times New Roman" w:eastAsia="仿宋_GB2312" w:cs="Times New Roman"/>
          <w:caps w:val="0"/>
          <w:color w:val="auto"/>
          <w:spacing w:val="0"/>
          <w:sz w:val="32"/>
          <w:szCs w:val="32"/>
          <w:highlight w:val="none"/>
          <w:shd w:val="clear" w:color="auto" w:fill="FFFFFF"/>
          <w:lang w:val="en-US" w:eastAsia="zh-CN"/>
        </w:rPr>
        <w:t>100</w:t>
      </w:r>
      <w:r>
        <w:rPr>
          <w:rFonts w:hint="default" w:ascii="Times New Roman" w:hAnsi="Times New Roman" w:eastAsia="仿宋_GB2312" w:cs="Times New Roman"/>
          <w:caps w:val="0"/>
          <w:color w:val="auto"/>
          <w:spacing w:val="0"/>
          <w:sz w:val="32"/>
          <w:szCs w:val="32"/>
          <w:highlight w:val="none"/>
          <w:shd w:val="clear" w:color="auto" w:fill="FFFFFF"/>
        </w:rPr>
        <w:t>%，全</w:t>
      </w:r>
      <w:r>
        <w:rPr>
          <w:rFonts w:hint="default" w:ascii="Times New Roman" w:hAnsi="Times New Roman" w:eastAsia="仿宋_GB2312" w:cs="Times New Roman"/>
          <w:caps w:val="0"/>
          <w:color w:val="auto"/>
          <w:spacing w:val="0"/>
          <w:sz w:val="32"/>
          <w:szCs w:val="32"/>
          <w:highlight w:val="none"/>
          <w:shd w:val="clear" w:color="auto" w:fill="FFFFFF"/>
          <w:lang w:eastAsia="zh-CN"/>
        </w:rPr>
        <w:t>县</w:t>
      </w:r>
      <w:r>
        <w:rPr>
          <w:rFonts w:hint="default" w:ascii="Times New Roman" w:hAnsi="Times New Roman" w:eastAsia="仿宋_GB2312" w:cs="Times New Roman"/>
          <w:caps w:val="0"/>
          <w:color w:val="auto"/>
          <w:spacing w:val="0"/>
          <w:sz w:val="32"/>
          <w:szCs w:val="32"/>
          <w:highlight w:val="none"/>
          <w:shd w:val="clear" w:color="auto" w:fill="FFFFFF"/>
        </w:rPr>
        <w:t>农用化肥施用量（折纯）</w:t>
      </w:r>
      <w:r>
        <w:rPr>
          <w:rFonts w:hint="default" w:ascii="Times New Roman" w:hAnsi="Times New Roman" w:eastAsia="仿宋_GB2312" w:cs="Times New Roman"/>
          <w:caps w:val="0"/>
          <w:color w:val="auto"/>
          <w:spacing w:val="0"/>
          <w:sz w:val="32"/>
          <w:szCs w:val="32"/>
          <w:highlight w:val="none"/>
          <w:shd w:val="clear" w:color="auto" w:fill="FFFFFF"/>
          <w:lang w:val="en-US" w:eastAsia="zh-CN"/>
        </w:rPr>
        <w:t>5.04</w:t>
      </w:r>
      <w:r>
        <w:rPr>
          <w:rFonts w:hint="default" w:ascii="Times New Roman" w:hAnsi="Times New Roman" w:eastAsia="仿宋_GB2312" w:cs="Times New Roman"/>
          <w:caps w:val="0"/>
          <w:color w:val="auto"/>
          <w:spacing w:val="0"/>
          <w:sz w:val="32"/>
          <w:szCs w:val="32"/>
          <w:highlight w:val="none"/>
          <w:shd w:val="clear" w:color="auto" w:fill="FFFFFF"/>
        </w:rPr>
        <w:t>万吨</w:t>
      </w:r>
      <w:r>
        <w:rPr>
          <w:rFonts w:hint="default" w:ascii="Times New Roman" w:hAnsi="Times New Roman" w:eastAsia="仿宋_GB2312" w:cs="Times New Roman"/>
          <w:caps w:val="0"/>
          <w:color w:val="auto"/>
          <w:spacing w:val="0"/>
          <w:sz w:val="32"/>
          <w:szCs w:val="32"/>
          <w:highlight w:val="none"/>
          <w:shd w:val="clear" w:color="auto" w:fill="FFFFFF"/>
          <w:lang w:eastAsia="zh-CN"/>
        </w:rPr>
        <w:t>，</w:t>
      </w:r>
      <w:r>
        <w:rPr>
          <w:rFonts w:hint="default" w:ascii="Times New Roman" w:hAnsi="Times New Roman" w:eastAsia="仿宋_GB2312" w:cs="Times New Roman"/>
          <w:caps w:val="0"/>
          <w:color w:val="auto"/>
          <w:spacing w:val="0"/>
          <w:sz w:val="32"/>
          <w:szCs w:val="32"/>
          <w:highlight w:val="none"/>
          <w:shd w:val="clear" w:color="auto" w:fill="FFFFFF"/>
        </w:rPr>
        <w:t>农药使用量</w:t>
      </w:r>
      <w:r>
        <w:rPr>
          <w:rFonts w:hint="default" w:ascii="Times New Roman" w:hAnsi="Times New Roman" w:eastAsia="仿宋_GB2312" w:cs="Times New Roman"/>
          <w:caps w:val="0"/>
          <w:color w:val="auto"/>
          <w:spacing w:val="0"/>
          <w:sz w:val="32"/>
          <w:szCs w:val="32"/>
          <w:highlight w:val="none"/>
          <w:shd w:val="clear" w:color="auto" w:fill="FFFFFF"/>
          <w:lang w:val="en-US" w:eastAsia="zh-CN"/>
        </w:rPr>
        <w:t>851.46</w:t>
      </w:r>
      <w:r>
        <w:rPr>
          <w:rFonts w:hint="default" w:ascii="Times New Roman" w:hAnsi="Times New Roman" w:eastAsia="仿宋_GB2312" w:cs="Times New Roman"/>
          <w:caps w:val="0"/>
          <w:color w:val="auto"/>
          <w:spacing w:val="0"/>
          <w:sz w:val="32"/>
          <w:szCs w:val="32"/>
          <w:highlight w:val="none"/>
          <w:shd w:val="clear" w:color="auto" w:fill="FFFFFF"/>
        </w:rPr>
        <w:t>吨。开展农药包装物回收处理和农用残膜回收处理试点示范。</w:t>
      </w:r>
      <w:r>
        <w:rPr>
          <w:rFonts w:hint="default" w:ascii="Times New Roman" w:hAnsi="Times New Roman" w:eastAsia="仿宋_GB2312" w:cs="Times New Roman"/>
          <w:color w:val="auto"/>
          <w:sz w:val="32"/>
          <w:szCs w:val="32"/>
        </w:rPr>
        <w:t>大力推进种养结合，加快农牧循环发展，2020年全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畜禽粪污综合利用率达到</w:t>
      </w:r>
      <w:r>
        <w:rPr>
          <w:rFonts w:hint="default" w:ascii="Times New Roman" w:hAnsi="Times New Roman" w:eastAsia="仿宋_GB2312" w:cs="Times New Roman"/>
          <w:color w:val="auto"/>
          <w:sz w:val="32"/>
          <w:szCs w:val="32"/>
          <w:lang w:val="en-US" w:eastAsia="zh-CN"/>
        </w:rPr>
        <w:t>85.1%</w:t>
      </w:r>
      <w:r>
        <w:rPr>
          <w:rFonts w:hint="default" w:ascii="Times New Roman" w:hAnsi="Times New Roman" w:eastAsia="仿宋_GB2312" w:cs="Times New Roman"/>
          <w:color w:val="auto"/>
          <w:sz w:val="32"/>
          <w:szCs w:val="32"/>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微软雅黑" w:cs="Times New Roman"/>
          <w:caps w:val="0"/>
          <w:color w:val="auto"/>
          <w:spacing w:val="0"/>
          <w:sz w:val="32"/>
          <w:szCs w:val="32"/>
          <w:highlight w:val="none"/>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（六）增强黑土地保护科技支撑能力。</w:t>
      </w:r>
      <w:r>
        <w:rPr>
          <w:rFonts w:hint="default" w:ascii="Times New Roman" w:hAnsi="Times New Roman" w:eastAsia="仿宋_GB2312" w:cs="Times New Roman"/>
          <w:color w:val="auto"/>
          <w:sz w:val="32"/>
          <w:szCs w:val="32"/>
          <w:lang w:val="en-US" w:eastAsia="zh-CN"/>
        </w:rPr>
        <w:t>借助省级</w:t>
      </w:r>
      <w:r>
        <w:rPr>
          <w:rFonts w:hint="default" w:ascii="Times New Roman" w:hAnsi="Times New Roman" w:eastAsia="仿宋_GB2312" w:cs="Times New Roman"/>
          <w:color w:val="auto"/>
          <w:sz w:val="32"/>
          <w:szCs w:val="32"/>
        </w:rPr>
        <w:t>建立</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黑土耕地保护科研、教学、推广、监测体系，为测土配方施肥、肥料质量检测、土壤肥力监测和农业环境监测等提供科技支撑。</w:t>
      </w:r>
      <w:r>
        <w:rPr>
          <w:rFonts w:hint="default" w:ascii="Times New Roman" w:hAnsi="Times New Roman" w:eastAsia="仿宋_GB2312" w:cs="Times New Roman"/>
          <w:caps w:val="0"/>
          <w:color w:val="auto"/>
          <w:spacing w:val="0"/>
          <w:sz w:val="32"/>
          <w:szCs w:val="32"/>
          <w:highlight w:val="none"/>
          <w:shd w:val="clear" w:color="auto" w:fill="FFFFFF"/>
        </w:rPr>
        <w:t>全</w:t>
      </w:r>
      <w:r>
        <w:rPr>
          <w:rFonts w:hint="default" w:ascii="Times New Roman" w:hAnsi="Times New Roman" w:eastAsia="仿宋_GB2312" w:cs="Times New Roman"/>
          <w:caps w:val="0"/>
          <w:color w:val="auto"/>
          <w:spacing w:val="0"/>
          <w:sz w:val="32"/>
          <w:szCs w:val="32"/>
          <w:highlight w:val="none"/>
          <w:shd w:val="clear" w:color="auto" w:fill="FFFFFF"/>
          <w:lang w:eastAsia="zh-CN"/>
        </w:rPr>
        <w:t>县</w:t>
      </w:r>
      <w:r>
        <w:rPr>
          <w:rFonts w:hint="default" w:ascii="Times New Roman" w:hAnsi="Times New Roman" w:eastAsia="仿宋_GB2312" w:cs="Times New Roman"/>
          <w:caps w:val="0"/>
          <w:color w:val="auto"/>
          <w:spacing w:val="0"/>
          <w:sz w:val="32"/>
          <w:szCs w:val="32"/>
          <w:highlight w:val="none"/>
          <w:shd w:val="clear" w:color="auto" w:fill="FFFFFF"/>
        </w:rPr>
        <w:t>设置耕地质量调查监测点</w:t>
      </w:r>
      <w:r>
        <w:rPr>
          <w:rFonts w:hint="default" w:ascii="Times New Roman" w:hAnsi="Times New Roman" w:eastAsia="仿宋_GB2312" w:cs="Times New Roman"/>
          <w:caps w:val="0"/>
          <w:color w:val="auto"/>
          <w:spacing w:val="0"/>
          <w:sz w:val="32"/>
          <w:szCs w:val="32"/>
          <w:highlight w:val="none"/>
          <w:shd w:val="clear" w:color="auto" w:fill="FFFFFF"/>
          <w:lang w:val="en-US" w:eastAsia="zh-CN"/>
        </w:rPr>
        <w:t>370</w:t>
      </w:r>
      <w:r>
        <w:rPr>
          <w:rFonts w:hint="default" w:ascii="Times New Roman" w:hAnsi="Times New Roman" w:eastAsia="仿宋_GB2312" w:cs="Times New Roman"/>
          <w:caps w:val="0"/>
          <w:color w:val="auto"/>
          <w:spacing w:val="0"/>
          <w:sz w:val="32"/>
          <w:szCs w:val="32"/>
          <w:highlight w:val="none"/>
          <w:shd w:val="clear" w:color="auto" w:fill="FFFFFF"/>
        </w:rPr>
        <w:t>个，实现</w:t>
      </w:r>
      <w:r>
        <w:rPr>
          <w:rFonts w:hint="default" w:ascii="Times New Roman" w:hAnsi="Times New Roman" w:eastAsia="仿宋_GB2312" w:cs="Times New Roman"/>
          <w:caps w:val="0"/>
          <w:color w:val="auto"/>
          <w:spacing w:val="0"/>
          <w:sz w:val="32"/>
          <w:szCs w:val="32"/>
          <w:highlight w:val="none"/>
          <w:shd w:val="clear" w:color="auto" w:fill="FFFFFF"/>
          <w:lang w:val="en-US" w:eastAsia="zh-CN"/>
        </w:rPr>
        <w:t>12</w:t>
      </w:r>
      <w:r>
        <w:rPr>
          <w:rFonts w:hint="default" w:ascii="Times New Roman" w:hAnsi="Times New Roman" w:eastAsia="仿宋_GB2312" w:cs="Times New Roman"/>
          <w:caps w:val="0"/>
          <w:color w:val="auto"/>
          <w:spacing w:val="0"/>
          <w:sz w:val="32"/>
          <w:szCs w:val="32"/>
          <w:highlight w:val="none"/>
          <w:shd w:val="clear" w:color="auto" w:fill="FFFFFF"/>
        </w:rPr>
        <w:t>个</w:t>
      </w:r>
      <w:r>
        <w:rPr>
          <w:rFonts w:hint="default" w:ascii="Times New Roman" w:hAnsi="Times New Roman" w:eastAsia="仿宋_GB2312" w:cs="Times New Roman"/>
          <w:caps w:val="0"/>
          <w:color w:val="auto"/>
          <w:spacing w:val="0"/>
          <w:sz w:val="32"/>
          <w:szCs w:val="32"/>
          <w:highlight w:val="none"/>
          <w:shd w:val="clear" w:color="auto" w:fill="FFFFFF"/>
          <w:lang w:eastAsia="zh-CN"/>
        </w:rPr>
        <w:t>乡镇</w:t>
      </w:r>
      <w:r>
        <w:rPr>
          <w:rFonts w:hint="default" w:ascii="Times New Roman" w:hAnsi="Times New Roman" w:eastAsia="仿宋_GB2312" w:cs="Times New Roman"/>
          <w:caps w:val="0"/>
          <w:color w:val="auto"/>
          <w:spacing w:val="0"/>
          <w:sz w:val="32"/>
          <w:szCs w:val="32"/>
          <w:highlight w:val="none"/>
          <w:shd w:val="clear" w:color="auto" w:fill="FFFFFF"/>
        </w:rPr>
        <w:t>耕地质量调查全覆盖。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（七）提</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升</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生态环境建设水平。</w:t>
      </w:r>
      <w:r>
        <w:rPr>
          <w:rFonts w:hint="default" w:ascii="Times New Roman" w:hAnsi="Times New Roman" w:eastAsia="仿宋_GB2312" w:cs="Times New Roman"/>
          <w:color w:val="000000" w:themeColor="text1"/>
          <w:sz w:val="32"/>
          <w:szCs w:val="32"/>
          <w14:textFill>
            <w14:solidFill>
              <w14:schemeClr w14:val="tx1"/>
            </w14:solidFill>
          </w14:textFill>
        </w:rPr>
        <w:t>坚持耕地保护与生态建设有机结合，促进生态环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境修复，有效遏制黑土地水土流失、风蚀沙化和耕地质量下降势头。全县新增水土流失治理面积40.69平方公里，为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“十三五”规划</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治理面积的34.45%，其中：实施4类水土保持重点治理工程40.69平方公里，治理侵蚀沟89条。推进农田防护林</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更新改造和修复，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改善黑土地生态环境。全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累计造林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6.76</w:t>
      </w:r>
      <w:r>
        <w:rPr>
          <w:rFonts w:hint="default" w:ascii="Times New Roman" w:hAnsi="Times New Roman" w:eastAsia="仿宋_GB2312" w:cs="Times New Roman"/>
          <w:color w:val="000000" w:themeColor="text1"/>
          <w:sz w:val="32"/>
          <w:szCs w:val="32"/>
          <w14:textFill>
            <w14:solidFill>
              <w14:schemeClr w14:val="tx1"/>
            </w14:solidFill>
          </w14:textFill>
        </w:rPr>
        <w:t>万亩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（八）提高粮食综合产能。</w:t>
      </w:r>
      <w:r>
        <w:rPr>
          <w:rFonts w:hint="default" w:ascii="Times New Roman" w:hAnsi="Times New Roman" w:eastAsia="仿宋_GB2312" w:cs="Times New Roman"/>
          <w:color w:val="000000" w:themeColor="text1"/>
          <w:sz w:val="32"/>
          <w:szCs w:val="32"/>
          <w14:textFill>
            <w14:solidFill>
              <w14:schemeClr w14:val="tx1"/>
            </w14:solidFill>
          </w14:textFill>
        </w:rPr>
        <w:t>积极培育农民专业合作社、农机合作社、家庭农场和种粮大户等新型经营主体，发展土地适度规模经营，提高土地集约化生产水平。截至2020年底，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全县</w:t>
      </w:r>
      <w:r>
        <w:rPr>
          <w:rFonts w:hint="default" w:ascii="Times New Roman" w:hAnsi="Times New Roman" w:eastAsia="仿宋_GB2312" w:cs="Times New Roman"/>
          <w:color w:val="000000" w:themeColor="text1"/>
          <w:sz w:val="32"/>
          <w:szCs w:val="32"/>
          <w14:textFill>
            <w14:solidFill>
              <w14:schemeClr w14:val="tx1"/>
            </w14:solidFill>
          </w14:textFill>
        </w:rPr>
        <w:t>各类新型经营主体发展到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6000</w:t>
      </w:r>
      <w:r>
        <w:rPr>
          <w:rFonts w:hint="default" w:ascii="Times New Roman" w:hAnsi="Times New Roman" w:eastAsia="仿宋_GB2312" w:cs="Times New Roman"/>
          <w:color w:val="000000" w:themeColor="text1"/>
          <w:sz w:val="32"/>
          <w:szCs w:val="32"/>
          <w14:textFill>
            <w14:solidFill>
              <w14:schemeClr w14:val="tx1"/>
            </w14:solidFill>
          </w14:textFill>
        </w:rPr>
        <w:t>个，土地规模经营面积达到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88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万</w:t>
      </w:r>
      <w:r>
        <w:rPr>
          <w:rFonts w:hint="default" w:ascii="Times New Roman" w:hAnsi="Times New Roman" w:eastAsia="仿宋_GB2312" w:cs="Times New Roman"/>
          <w:color w:val="000000" w:themeColor="text1"/>
          <w:sz w:val="32"/>
          <w:szCs w:val="32"/>
          <w14:textFill>
            <w14:solidFill>
              <w14:schemeClr w14:val="tx1"/>
            </w14:solidFill>
          </w14:textFill>
        </w:rPr>
        <w:t>亩。2020年，全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粮食总产量达到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24.2</w:t>
      </w:r>
      <w:r>
        <w:rPr>
          <w:rFonts w:hint="default" w:ascii="Times New Roman" w:hAnsi="Times New Roman" w:eastAsia="仿宋_GB2312" w:cs="Times New Roman"/>
          <w:color w:val="000000" w:themeColor="text1"/>
          <w:sz w:val="32"/>
          <w:szCs w:val="32"/>
          <w14:textFill>
            <w14:solidFill>
              <w14:schemeClr w14:val="tx1"/>
            </w14:solidFill>
          </w14:textFill>
        </w:rPr>
        <w:t>亿斤，实现十七连丰，稳固成为维护国家粮食安全的“压舱石”，为保障国家粮食安全作出了重要贡献。</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微软雅黑" w:cs="Times New Roman"/>
          <w:color w:val="auto"/>
          <w:kern w:val="0"/>
          <w:sz w:val="32"/>
          <w:szCs w:val="32"/>
        </w:rPr>
      </w:pPr>
      <w:r>
        <w:rPr>
          <w:rFonts w:hint="default" w:ascii="Times New Roman" w:hAnsi="Times New Roman" w:eastAsia="黑体" w:cs="Times New Roman"/>
          <w:b/>
          <w:bCs/>
          <w:color w:val="auto"/>
          <w:kern w:val="0"/>
          <w:sz w:val="32"/>
          <w:szCs w:val="32"/>
          <w:lang w:val="en-US" w:eastAsia="zh-CN"/>
        </w:rPr>
        <w:t>二</w:t>
      </w:r>
      <w:r>
        <w:rPr>
          <w:rFonts w:hint="default" w:ascii="Times New Roman" w:hAnsi="Times New Roman" w:eastAsia="黑体" w:cs="Times New Roman"/>
          <w:b/>
          <w:bCs/>
          <w:color w:val="auto"/>
          <w:kern w:val="0"/>
          <w:sz w:val="32"/>
          <w:szCs w:val="32"/>
        </w:rPr>
        <w:t>、</w:t>
      </w:r>
      <w:r>
        <w:rPr>
          <w:rFonts w:hint="default" w:ascii="Times New Roman" w:hAnsi="Times New Roman" w:eastAsia="黑体" w:cs="Times New Roman"/>
          <w:color w:val="000000" w:themeColor="text1"/>
          <w:sz w:val="32"/>
          <w:szCs w:val="32"/>
          <w14:textFill>
            <w14:solidFill>
              <w14:schemeClr w14:val="tx1"/>
            </w14:solidFill>
          </w14:textFill>
        </w:rPr>
        <w:t>“十</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五”</w:t>
      </w:r>
      <w:r>
        <w:rPr>
          <w:rFonts w:hint="default" w:ascii="Times New Roman" w:hAnsi="Times New Roman" w:eastAsia="黑体" w:cs="Times New Roman"/>
          <w:color w:val="000000" w:themeColor="text1"/>
          <w:sz w:val="32"/>
          <w:szCs w:val="32"/>
          <w:lang w:eastAsia="zh-CN"/>
          <w14:textFill>
            <w14:solidFill>
              <w14:schemeClr w14:val="tx1"/>
            </w14:solidFill>
          </w14:textFill>
        </w:rPr>
        <w:t>期</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间</w:t>
      </w:r>
      <w:r>
        <w:rPr>
          <w:rFonts w:hint="default" w:ascii="Times New Roman" w:hAnsi="Times New Roman" w:eastAsia="黑体" w:cs="Times New Roman"/>
          <w:b w:val="0"/>
          <w:bCs w:val="0"/>
          <w:color w:val="auto"/>
          <w:kern w:val="0"/>
          <w:sz w:val="32"/>
          <w:szCs w:val="32"/>
        </w:rPr>
        <w:t>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（一）指导思想</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以习近平新时代中国特色社会主义思想为指导，深入贯彻</w:t>
      </w:r>
      <w:r>
        <w:rPr>
          <w:rFonts w:hint="default" w:ascii="Times New Roman" w:hAnsi="Times New Roman" w:eastAsia="仿宋_GB2312" w:cs="Times New Roman"/>
          <w:color w:val="000000" w:themeColor="text1"/>
          <w:sz w:val="32"/>
          <w:szCs w:val="32"/>
          <w14:textFill>
            <w14:solidFill>
              <w14:schemeClr w14:val="tx1"/>
            </w14:solidFill>
          </w14:textFill>
        </w:rPr>
        <w:t>党的二十大精神</w:t>
      </w:r>
      <w:r>
        <w:rPr>
          <w:rFonts w:hint="default" w:ascii="Times New Roman" w:hAnsi="Times New Roman" w:eastAsia="仿宋_GB2312" w:cs="Times New Roman"/>
          <w:color w:val="auto"/>
          <w:kern w:val="0"/>
          <w:sz w:val="32"/>
          <w:szCs w:val="32"/>
          <w:lang w:val="en-US" w:eastAsia="zh-CN"/>
        </w:rPr>
        <w:t>，全面落实习近平总书记关于“三农”工作重要论述和黑土地保护重要讲话重要指示精神，</w:t>
      </w:r>
      <w:r>
        <w:rPr>
          <w:rFonts w:hint="default" w:ascii="Times New Roman" w:hAnsi="Times New Roman" w:eastAsia="仿宋_GB2312" w:cs="Times New Roman"/>
          <w:color w:val="000000" w:themeColor="text1"/>
          <w:sz w:val="32"/>
          <w:szCs w:val="32"/>
          <w14:textFill>
            <w14:solidFill>
              <w14:schemeClr w14:val="tx1"/>
            </w14:solidFill>
          </w14:textFill>
        </w:rPr>
        <w:t>统筹推进“五位一体”总体布局和协调推进“四个全面”战略布局，牢固树立和贯彻落实新发展理念，</w:t>
      </w:r>
      <w:r>
        <w:rPr>
          <w:rFonts w:hint="default" w:ascii="Times New Roman" w:hAnsi="Times New Roman" w:eastAsia="仿宋_GB2312" w:cs="Times New Roman"/>
          <w:color w:val="auto"/>
          <w:kern w:val="0"/>
          <w:sz w:val="32"/>
          <w:szCs w:val="32"/>
          <w:lang w:val="en-US" w:eastAsia="zh-CN"/>
        </w:rPr>
        <w:t>深入实施“藏粮于地、藏粮于技”战略和现代农业黑土地保护利用工程，依靠科技引领，加大资金投入，调整优化结构，创新服务机制，综合采取工程、农艺、生物等多种措施，</w:t>
      </w:r>
      <w:r>
        <w:rPr>
          <w:rFonts w:hint="default" w:ascii="Times New Roman" w:hAnsi="Times New Roman" w:eastAsia="仿宋_GB2312" w:cs="Times New Roman"/>
          <w:color w:val="000000" w:themeColor="text1"/>
          <w:sz w:val="32"/>
          <w:szCs w:val="32"/>
          <w14:textFill>
            <w14:solidFill>
              <w14:schemeClr w14:val="tx1"/>
            </w14:solidFill>
          </w14:textFill>
        </w:rPr>
        <w:t>做好黑土耕地保护“加减乘除”，改善黑土耕地设施条件、内在质量、生态环境，</w:t>
      </w:r>
      <w:r>
        <w:rPr>
          <w:rFonts w:hint="default" w:ascii="Times New Roman" w:hAnsi="Times New Roman" w:eastAsia="仿宋_GB2312" w:cs="Times New Roman"/>
          <w:color w:val="auto"/>
          <w:kern w:val="0"/>
          <w:sz w:val="32"/>
          <w:szCs w:val="32"/>
          <w:lang w:val="en-US" w:eastAsia="zh-CN"/>
        </w:rPr>
        <w:t>切实保护好黑土地这一“耕地中的大熊猫”，为保障我县粮食安全、促进乡村全面振兴、加快农业农村现代化提供强有力支撑。　</w:t>
      </w:r>
      <w:r>
        <w:rPr>
          <w:rFonts w:hint="default" w:ascii="Times New Roman" w:hAnsi="Times New Roman" w:eastAsia="仿宋_GB2312" w:cs="Times New Roman"/>
          <w:b/>
          <w:bCs/>
          <w:color w:val="auto"/>
          <w:kern w:val="0"/>
          <w:sz w:val="32"/>
          <w:szCs w:val="32"/>
        </w:rPr>
        <w:t>　</w:t>
      </w:r>
      <w:r>
        <w:rPr>
          <w:rFonts w:hint="default" w:ascii="Times New Roman" w:hAnsi="Times New Roman" w:eastAsia="仿宋_GB2312" w:cs="Times New Roman"/>
          <w:b/>
          <w:bCs/>
          <w:color w:val="auto"/>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lang w:eastAsia="zh-CN"/>
        </w:rPr>
        <w:t>1.</w:t>
      </w:r>
      <w:r>
        <w:rPr>
          <w:rFonts w:hint="default" w:ascii="Times New Roman" w:hAnsi="Times New Roman" w:eastAsia="楷体" w:cs="Times New Roman"/>
          <w:b/>
          <w:bCs/>
          <w:color w:val="auto"/>
          <w:sz w:val="32"/>
          <w:szCs w:val="32"/>
        </w:rPr>
        <w:t>坚持用养结合、保护利用。</w:t>
      </w:r>
      <w:r>
        <w:rPr>
          <w:rFonts w:hint="default" w:ascii="Times New Roman" w:hAnsi="Times New Roman" w:eastAsia="仿宋_GB2312" w:cs="Times New Roman"/>
          <w:color w:val="auto"/>
          <w:sz w:val="32"/>
          <w:szCs w:val="32"/>
        </w:rPr>
        <w:t>以农业供给侧结构性改革为导向，统筹粮食优质增产、畜牧业发展、农民增收和黑土耕地保护之间的关系，调整优化农业种植结构和生产布局，推广资源节约型、环境友好型技术，</w:t>
      </w:r>
      <w:r>
        <w:rPr>
          <w:rFonts w:hint="default" w:ascii="Times New Roman" w:hAnsi="Times New Roman" w:eastAsia="仿宋_GB2312" w:cs="Times New Roman"/>
          <w:caps w:val="0"/>
          <w:color w:val="auto"/>
          <w:spacing w:val="0"/>
          <w:sz w:val="32"/>
          <w:szCs w:val="32"/>
          <w:shd w:val="clear" w:color="auto" w:fill="FFFFFF"/>
        </w:rPr>
        <w:t>推进种养循环、秸秆粪污资源化利用、合理轮作等综合治理模式，切实保护好利用好黑土地。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lang w:eastAsia="zh-CN"/>
        </w:rPr>
        <w:t>2.坚持突出重点、综合施策。</w:t>
      </w:r>
      <w:r>
        <w:rPr>
          <w:rFonts w:hint="default" w:ascii="Times New Roman" w:hAnsi="Times New Roman" w:eastAsia="仿宋_GB2312" w:cs="Times New Roman"/>
          <w:caps w:val="0"/>
          <w:color w:val="auto"/>
          <w:spacing w:val="0"/>
          <w:sz w:val="32"/>
          <w:szCs w:val="32"/>
          <w:shd w:val="clear" w:color="auto" w:fill="FFFFFF"/>
        </w:rPr>
        <w:t>以黑土高标准农田建设为平台</w:t>
      </w:r>
      <w:r>
        <w:rPr>
          <w:rFonts w:hint="default" w:ascii="Times New Roman" w:hAnsi="Times New Roman" w:eastAsia="仿宋_GB2312" w:cs="Times New Roman"/>
          <w:caps w:val="0"/>
          <w:color w:val="auto"/>
          <w:spacing w:val="0"/>
          <w:sz w:val="32"/>
          <w:szCs w:val="32"/>
          <w:shd w:val="clear" w:color="auto" w:fill="FFFFFF"/>
          <w:lang w:eastAsia="zh-CN"/>
        </w:rPr>
        <w:t>，</w:t>
      </w:r>
      <w:r>
        <w:rPr>
          <w:rFonts w:hint="default" w:ascii="Times New Roman" w:hAnsi="Times New Roman" w:eastAsia="仿宋_GB2312" w:cs="Times New Roman"/>
          <w:color w:val="auto"/>
          <w:sz w:val="32"/>
          <w:szCs w:val="32"/>
        </w:rPr>
        <w:t>以黑土耕地质量保护和提升为重点，统筹土、肥、水、种及栽培等生产要素，综合运用工程、农艺、农机、生物等措施，</w:t>
      </w:r>
      <w:r>
        <w:rPr>
          <w:rFonts w:hint="default" w:ascii="Times New Roman" w:hAnsi="Times New Roman" w:eastAsia="仿宋_GB2312" w:cs="Times New Roman"/>
          <w:caps w:val="0"/>
          <w:color w:val="auto"/>
          <w:spacing w:val="0"/>
          <w:sz w:val="32"/>
          <w:szCs w:val="32"/>
          <w:shd w:val="clear" w:color="auto" w:fill="FFFFFF"/>
        </w:rPr>
        <w:t>发挥示范带动效应，提升黑土耕地质量</w:t>
      </w:r>
      <w:r>
        <w:rPr>
          <w:rFonts w:hint="default" w:ascii="Times New Roman" w:hAnsi="Times New Roman" w:eastAsia="仿宋_GB2312" w:cs="Times New Roman"/>
          <w:caps w:val="0"/>
          <w:color w:val="auto"/>
          <w:spacing w:val="0"/>
          <w:sz w:val="32"/>
          <w:szCs w:val="32"/>
          <w:shd w:val="clear" w:color="auto" w:fill="FFFFFF"/>
          <w:lang w:eastAsia="zh-CN"/>
        </w:rPr>
        <w:t>，</w:t>
      </w:r>
      <w:r>
        <w:rPr>
          <w:rFonts w:hint="default" w:ascii="Times New Roman" w:hAnsi="Times New Roman" w:eastAsia="仿宋_GB2312" w:cs="Times New Roman"/>
          <w:color w:val="auto"/>
          <w:sz w:val="32"/>
          <w:szCs w:val="32"/>
        </w:rPr>
        <w:t>确保黑土耕地保护取得实效。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color w:val="auto"/>
          <w:sz w:val="32"/>
          <w:szCs w:val="32"/>
          <w:lang w:eastAsia="zh-CN"/>
        </w:rPr>
        <w:t>3.坚持试点先行、逐步推进。</w:t>
      </w:r>
      <w:r>
        <w:rPr>
          <w:rFonts w:hint="default" w:ascii="Times New Roman" w:hAnsi="Times New Roman" w:eastAsia="仿宋_GB2312" w:cs="Times New Roman"/>
          <w:color w:val="auto"/>
          <w:sz w:val="32"/>
          <w:szCs w:val="32"/>
        </w:rPr>
        <w:t>积极推进多种保护利用模式的试点，逐步扩大试点范围。认真总结试点经验，有效衔接相关投资建设规划，集中资金投入，推进连片治理，做到建一片、成一</w:t>
      </w:r>
      <w:r>
        <w:rPr>
          <w:rFonts w:hint="default" w:ascii="Times New Roman" w:hAnsi="Times New Roman" w:eastAsia="仿宋_GB2312" w:cs="Times New Roman"/>
          <w:color w:val="000000" w:themeColor="text1"/>
          <w:sz w:val="32"/>
          <w:szCs w:val="32"/>
          <w14:textFill>
            <w14:solidFill>
              <w14:schemeClr w14:val="tx1"/>
            </w14:solidFill>
          </w14:textFill>
        </w:rPr>
        <w:t>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（三）主要目标。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1.规模目标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yellow"/>
          <w:lang w:val="en-US" w:eastAsia="zh-CN"/>
        </w:rPr>
      </w:pPr>
      <w:r>
        <w:rPr>
          <w:rFonts w:hint="default" w:ascii="Times New Roman" w:hAnsi="Times New Roman" w:eastAsia="仿宋_GB2312" w:cs="Times New Roman"/>
          <w:b w:val="0"/>
          <w:i w:val="0"/>
          <w:caps w:val="0"/>
          <w:color w:val="000000" w:themeColor="text1"/>
          <w:spacing w:val="0"/>
          <w:w w:val="100"/>
          <w:kern w:val="2"/>
          <w:sz w:val="32"/>
          <w:szCs w:val="32"/>
          <w:lang w:val="en" w:eastAsia="zh-CN" w:bidi="ar-SA"/>
          <w14:textFill>
            <w14:solidFill>
              <w14:schemeClr w14:val="tx1"/>
            </w14:solidFill>
          </w14:textFill>
        </w:rPr>
        <w:t>集</w:t>
      </w:r>
      <w:r>
        <w:rPr>
          <w:rFonts w:hint="default" w:ascii="Times New Roman" w:hAnsi="Times New Roman" w:eastAsia="仿宋_GB2312" w:cs="Times New Roman"/>
          <w:b w:val="0"/>
          <w:i w:val="0"/>
          <w:caps w:val="0"/>
          <w:color w:val="000000" w:themeColor="text1"/>
          <w:spacing w:val="0"/>
          <w:w w:val="100"/>
          <w:kern w:val="2"/>
          <w:sz w:val="32"/>
          <w:szCs w:val="32"/>
          <w:highlight w:val="none"/>
          <w:lang w:val="en" w:eastAsia="zh-CN" w:bidi="ar-SA"/>
          <w14:textFill>
            <w14:solidFill>
              <w14:schemeClr w14:val="tx1"/>
            </w14:solidFill>
          </w14:textFill>
        </w:rPr>
        <w:t>中连片、整体推进，稳步扩大面积。</w:t>
      </w:r>
      <w:r>
        <w:rPr>
          <w:rFonts w:hint="default" w:ascii="Times New Roman" w:hAnsi="Times New Roman" w:eastAsia="仿宋_GB2312" w:cs="Times New Roman"/>
          <w:color w:val="auto"/>
          <w:kern w:val="0"/>
          <w:sz w:val="32"/>
          <w:szCs w:val="32"/>
          <w:highlight w:val="none"/>
          <w:lang w:val="en-US" w:eastAsia="zh-CN"/>
        </w:rPr>
        <w:t>到2025年，在永久基本农田和划定的“两区”范围内实现黑土耕地保护利用示范区面积达到155万亩，占全县耕地面积的42%。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到2030年，实施黑土地保护利用示范区</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面积</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230万</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亩</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上，</w:t>
      </w:r>
      <w:r>
        <w:rPr>
          <w:rFonts w:hint="default" w:ascii="Times New Roman" w:hAnsi="Times New Roman" w:eastAsia="仿宋_GB2312" w:cs="Times New Roman"/>
          <w:color w:val="auto"/>
          <w:kern w:val="0"/>
          <w:sz w:val="32"/>
          <w:szCs w:val="32"/>
          <w:lang w:val="en-US" w:eastAsia="zh-CN"/>
        </w:rPr>
        <w:t>占全县耕地面积63%。</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2.质量目标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kern w:val="0"/>
          <w:sz w:val="32"/>
          <w:szCs w:val="32"/>
          <w:lang w:val="en-US" w:eastAsia="zh-CN"/>
        </w:rPr>
        <w:t>到2025年，黑土耕地保护利用示范区耕地土壤有机质含量平均增加1克/千克以上；旱田平地耕作层平均达到30厘米以上，坡耕地耕作层平均达到25厘米以上，水田耕作层达到20—25厘米。</w:t>
      </w:r>
      <w:r>
        <w:rPr>
          <w:rFonts w:hint="default" w:ascii="Times New Roman" w:hAnsi="Times New Roman" w:eastAsia="仿宋_GB2312" w:cs="Times New Roman"/>
          <w:caps w:val="0"/>
          <w:color w:val="333333"/>
          <w:spacing w:val="0"/>
          <w:sz w:val="32"/>
          <w:szCs w:val="32"/>
          <w:shd w:val="clear" w:color="auto" w:fill="FFFFFF"/>
        </w:rPr>
        <w:t>到2030年，黑土耕地保护示范区土壤有机质平均含量比2025年提高1克/千克以上。通过土壤改良、地力培肥和治理修复，有效遏制黑土地退化，持续提升黑土耕地质量，改善黑土区生态环境。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3.成效目标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en"/>
          <w14:textFill>
            <w14:solidFill>
              <w14:schemeClr w14:val="tx1"/>
            </w14:solidFill>
          </w14:textFill>
        </w:rPr>
      </w:pPr>
      <w:r>
        <w:rPr>
          <w:rFonts w:hint="default" w:ascii="Times New Roman" w:hAnsi="Times New Roman" w:eastAsia="仿宋_GB2312" w:cs="Times New Roman"/>
          <w:color w:val="auto"/>
          <w:kern w:val="0"/>
          <w:sz w:val="32"/>
          <w:szCs w:val="32"/>
          <w:lang w:val="en-US" w:eastAsia="zh-CN"/>
        </w:rPr>
        <w:t>通过加强黑土地保护，提升综合生产能力，促进粮食产量稳步增加。到2025年，全县粮食综合生产能力达到24亿斤。</w:t>
      </w:r>
      <w:r>
        <w:rPr>
          <w:rFonts w:hint="default" w:ascii="Times New Roman" w:hAnsi="Times New Roman" w:eastAsia="仿宋_GB2312" w:cs="Times New Roman"/>
          <w:color w:val="000000" w:themeColor="text1"/>
          <w:sz w:val="32"/>
          <w:szCs w:val="32"/>
          <w:lang w:val="en"/>
          <w14:textFill>
            <w14:solidFill>
              <w14:schemeClr w14:val="tx1"/>
            </w14:solidFill>
          </w14:textFill>
        </w:rPr>
        <w:t>到2030年，全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lang w:val="en"/>
          <w14:textFill>
            <w14:solidFill>
              <w14:schemeClr w14:val="tx1"/>
            </w14:solidFill>
          </w14:textFill>
        </w:rPr>
        <w:t>粮食综合产能</w:t>
      </w:r>
      <w:r>
        <w:rPr>
          <w:rFonts w:hint="default" w:ascii="Times New Roman" w:hAnsi="Times New Roman" w:eastAsia="仿宋_GB2312" w:cs="Times New Roman"/>
          <w:color w:val="000000" w:themeColor="text1"/>
          <w:sz w:val="32"/>
          <w:szCs w:val="32"/>
          <w14:textFill>
            <w14:solidFill>
              <w14:schemeClr w14:val="tx1"/>
            </w14:solidFill>
          </w14:textFill>
        </w:rPr>
        <w:t>提升到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lang w:val="en"/>
          <w14:textFill>
            <w14:solidFill>
              <w14:schemeClr w14:val="tx1"/>
            </w14:solidFill>
          </w14:textFill>
        </w:rPr>
        <w:t>亿斤</w:t>
      </w:r>
      <w:r>
        <w:rPr>
          <w:rFonts w:hint="default" w:ascii="Times New Roman" w:hAnsi="Times New Roman" w:eastAsia="仿宋_GB2312" w:cs="Times New Roman"/>
          <w:color w:val="000000" w:themeColor="text1"/>
          <w:sz w:val="32"/>
          <w:szCs w:val="32"/>
          <w14:textFill>
            <w14:solidFill>
              <w14:schemeClr w14:val="tx1"/>
            </w14:solidFill>
          </w14:textFill>
        </w:rPr>
        <w:t>以上</w:t>
      </w:r>
      <w:r>
        <w:rPr>
          <w:rFonts w:hint="default" w:ascii="Times New Roman" w:hAnsi="Times New Roman" w:eastAsia="仿宋_GB2312" w:cs="Times New Roman"/>
          <w:color w:val="000000" w:themeColor="text1"/>
          <w:sz w:val="32"/>
          <w:szCs w:val="32"/>
          <w:lang w:val="en"/>
          <w14:textFill>
            <w14:solidFill>
              <w14:schemeClr w14:val="tx1"/>
            </w14:solidFill>
          </w14:textFill>
        </w:rPr>
        <w:t>。</w:t>
      </w:r>
    </w:p>
    <w:p>
      <w:pPr>
        <w:pStyle w:val="2"/>
        <w:rPr>
          <w:rFonts w:hint="default"/>
        </w:rPr>
      </w:pPr>
    </w:p>
    <w:p>
      <w:pPr>
        <w:keepNext/>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专栏1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“十四五”时期黑土地保护主要任务目标</w:t>
      </w:r>
    </w:p>
    <w:tbl>
      <w:tblPr>
        <w:tblStyle w:val="9"/>
        <w:tblW w:w="5362" w:type="pct"/>
        <w:tblInd w:w="0" w:type="dxa"/>
        <w:tblLayout w:type="autofit"/>
        <w:tblCellMar>
          <w:top w:w="0" w:type="dxa"/>
          <w:left w:w="108" w:type="dxa"/>
          <w:bottom w:w="0" w:type="dxa"/>
          <w:right w:w="108" w:type="dxa"/>
        </w:tblCellMar>
      </w:tblPr>
      <w:tblGrid>
        <w:gridCol w:w="914"/>
        <w:gridCol w:w="3696"/>
        <w:gridCol w:w="2595"/>
        <w:gridCol w:w="2537"/>
      </w:tblGrid>
      <w:tr>
        <w:tblPrEx>
          <w:tblCellMar>
            <w:top w:w="0" w:type="dxa"/>
            <w:left w:w="108" w:type="dxa"/>
            <w:bottom w:w="0" w:type="dxa"/>
            <w:right w:w="108" w:type="dxa"/>
          </w:tblCellMar>
        </w:tblPrEx>
        <w:trPr>
          <w:trHeight w:val="515"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类别</w:t>
            </w:r>
          </w:p>
        </w:tc>
        <w:tc>
          <w:tcPr>
            <w:tcW w:w="18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任务</w:t>
            </w:r>
          </w:p>
        </w:tc>
        <w:tc>
          <w:tcPr>
            <w:tcW w:w="2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预期目标</w:t>
            </w:r>
          </w:p>
        </w:tc>
      </w:tr>
      <w:tr>
        <w:tblPrEx>
          <w:tblCellMar>
            <w:top w:w="0" w:type="dxa"/>
            <w:left w:w="108" w:type="dxa"/>
            <w:bottom w:w="0" w:type="dxa"/>
            <w:right w:w="108" w:type="dxa"/>
          </w:tblCellMar>
        </w:tblPrEx>
        <w:trPr>
          <w:trHeight w:val="23"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p>
        </w:tc>
        <w:tc>
          <w:tcPr>
            <w:tcW w:w="18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到2025年</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到2030年</w:t>
            </w:r>
          </w:p>
        </w:tc>
      </w:tr>
      <w:tr>
        <w:tblPrEx>
          <w:tblCellMar>
            <w:top w:w="0" w:type="dxa"/>
            <w:left w:w="108" w:type="dxa"/>
            <w:bottom w:w="0" w:type="dxa"/>
            <w:right w:w="108" w:type="dxa"/>
          </w:tblCellMar>
        </w:tblPrEx>
        <w:trPr>
          <w:trHeight w:val="23"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规模目标</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黑土地保护利用示范区（万亩）</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122.7</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180</w:t>
            </w:r>
          </w:p>
        </w:tc>
      </w:tr>
      <w:tr>
        <w:tblPrEx>
          <w:tblCellMar>
            <w:top w:w="0" w:type="dxa"/>
            <w:left w:w="108" w:type="dxa"/>
            <w:bottom w:w="0" w:type="dxa"/>
            <w:right w:w="108" w:type="dxa"/>
          </w:tblCellMar>
        </w:tblPrEx>
        <w:trPr>
          <w:trHeight w:val="23" w:hRule="atLeast"/>
        </w:trPr>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质量</w:t>
            </w:r>
            <w:r>
              <w:rPr>
                <w:rFonts w:hint="default" w:ascii="Times New Roman" w:hAnsi="Times New Roman" w:eastAsia="仿宋_GB2312" w:cs="Times New Roman"/>
                <w:color w:val="000000" w:themeColor="text1"/>
                <w:sz w:val="32"/>
                <w:szCs w:val="32"/>
                <w14:textFill>
                  <w14:solidFill>
                    <w14:schemeClr w14:val="tx1"/>
                  </w14:solidFill>
                </w14:textFill>
              </w:rPr>
              <w:t>目标</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土壤有机质平均增量（克/千克）</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比2020年平均提高1克/千克以上</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比2025年平均提高1克/千克以上</w:t>
            </w:r>
          </w:p>
        </w:tc>
      </w:tr>
      <w:tr>
        <w:tblPrEx>
          <w:tblCellMar>
            <w:top w:w="0" w:type="dxa"/>
            <w:left w:w="108" w:type="dxa"/>
            <w:bottom w:w="0" w:type="dxa"/>
            <w:right w:w="108" w:type="dxa"/>
          </w:tblCellMar>
        </w:tblPrEx>
        <w:trPr>
          <w:trHeight w:val="23" w:hRule="atLeast"/>
        </w:trPr>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耕作层平均厚度（厘米）</w:t>
            </w:r>
          </w:p>
        </w:tc>
        <w:tc>
          <w:tcPr>
            <w:tcW w:w="2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旱田平地：≥30厘米；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坡耕地：≥25厘米；水田：20—25厘米。</w:t>
            </w:r>
          </w:p>
        </w:tc>
      </w:tr>
      <w:tr>
        <w:tblPrEx>
          <w:tblCellMar>
            <w:top w:w="0" w:type="dxa"/>
            <w:left w:w="108" w:type="dxa"/>
            <w:bottom w:w="0" w:type="dxa"/>
            <w:right w:w="108" w:type="dxa"/>
          </w:tblCellMar>
        </w:tblPrEx>
        <w:trPr>
          <w:trHeight w:val="23"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成效目标</w:t>
            </w:r>
          </w:p>
        </w:tc>
        <w:tc>
          <w:tcPr>
            <w:tcW w:w="1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全市粮食综合产能（亿斤）</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稳定在24亿斤</w:t>
            </w:r>
          </w:p>
        </w:tc>
        <w:tc>
          <w:tcPr>
            <w:tcW w:w="1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稳定在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25亿斤</w:t>
            </w:r>
          </w:p>
        </w:tc>
      </w:tr>
      <w:tr>
        <w:tblPrEx>
          <w:tblCellMar>
            <w:top w:w="0" w:type="dxa"/>
            <w:left w:w="108" w:type="dxa"/>
            <w:bottom w:w="0" w:type="dxa"/>
            <w:right w:w="108" w:type="dxa"/>
          </w:tblCellMar>
        </w:tblPrEx>
        <w:trPr>
          <w:trHeight w:val="2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注：标准化示范建设突出退化问题叠加严重的地区，提高建设标准，实施综合措施，持续支持示范。</w:t>
            </w:r>
          </w:p>
        </w:tc>
      </w:tr>
    </w:tbl>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Cs/>
          <w:color w:val="auto"/>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微软雅黑" w:cs="Times New Roman"/>
          <w:color w:val="auto"/>
          <w:kern w:val="0"/>
          <w:sz w:val="32"/>
          <w:szCs w:val="32"/>
        </w:rPr>
      </w:pPr>
      <w:r>
        <w:rPr>
          <w:rFonts w:hint="default" w:ascii="Times New Roman" w:hAnsi="Times New Roman" w:eastAsia="黑体" w:cs="Times New Roman"/>
          <w:bCs/>
          <w:color w:val="auto"/>
          <w:kern w:val="0"/>
          <w:sz w:val="32"/>
          <w:szCs w:val="32"/>
          <w:lang w:val="en-US" w:eastAsia="zh-CN"/>
        </w:rPr>
        <w:t>三</w:t>
      </w:r>
      <w:r>
        <w:rPr>
          <w:rFonts w:hint="default" w:ascii="Times New Roman" w:hAnsi="Times New Roman" w:eastAsia="黑体" w:cs="Times New Roman"/>
          <w:bCs/>
          <w:color w:val="auto"/>
          <w:kern w:val="0"/>
          <w:sz w:val="32"/>
          <w:szCs w:val="32"/>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主要技术路径</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微软雅黑" w:cs="Times New Roman"/>
          <w:color w:val="auto"/>
          <w:kern w:val="0"/>
          <w:sz w:val="32"/>
          <w:szCs w:val="32"/>
        </w:rPr>
      </w:pPr>
      <w:r>
        <w:rPr>
          <w:rFonts w:hint="default" w:ascii="Times New Roman" w:hAnsi="Times New Roman" w:eastAsia="仿宋_GB2312" w:cs="Times New Roman"/>
          <w:color w:val="auto"/>
          <w:kern w:val="0"/>
          <w:sz w:val="32"/>
          <w:szCs w:val="32"/>
        </w:rPr>
        <w:t>　　根据</w:t>
      </w:r>
      <w:r>
        <w:rPr>
          <w:rFonts w:hint="default" w:ascii="Times New Roman" w:hAnsi="Times New Roman" w:eastAsia="仿宋_GB2312" w:cs="Times New Roman"/>
          <w:color w:val="000000" w:themeColor="text1"/>
          <w:sz w:val="32"/>
          <w:szCs w:val="32"/>
          <w14:textFill>
            <w14:solidFill>
              <w14:schemeClr w14:val="tx1"/>
            </w14:solidFill>
          </w14:textFill>
        </w:rPr>
        <w:t>黑土耕地的</w:t>
      </w:r>
      <w:r>
        <w:rPr>
          <w:rFonts w:hint="default" w:ascii="Times New Roman" w:hAnsi="Times New Roman" w:eastAsia="仿宋_GB2312" w:cs="Times New Roman"/>
          <w:color w:val="auto"/>
          <w:kern w:val="0"/>
          <w:sz w:val="32"/>
          <w:szCs w:val="32"/>
        </w:rPr>
        <w:t>地形特征、自然条件、土壤类型、存在的突出问题及农业生产实际等因素，将黑土耕地划分为平原旱田、坡耕地和水田等</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个类型区，以培育增肥、保育培肥、固土保肥、改良培肥等为主攻方向，因地制宜落实“龙江模式”“三江模式”等关键技术模式，分区保护、分类治理，探索确立一批整乡、整村、整片推进的黑土地保护示范区。</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楷体"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（一）平原旱田类型区。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aps w:val="0"/>
          <w:color w:val="auto"/>
          <w:spacing w:val="0"/>
          <w:sz w:val="32"/>
          <w:szCs w:val="32"/>
          <w:shd w:val="clear" w:color="auto" w:fill="FFFFFF"/>
        </w:rPr>
      </w:pPr>
      <w:r>
        <w:rPr>
          <w:rFonts w:hint="default" w:ascii="Times New Roman" w:hAnsi="Times New Roman" w:eastAsia="仿宋_GB2312" w:cs="Times New Roman"/>
          <w:b/>
          <w:bCs/>
          <w:color w:val="auto"/>
          <w:sz w:val="32"/>
          <w:szCs w:val="32"/>
          <w:highlight w:val="none"/>
          <w:lang w:val="en-US" w:eastAsia="zh-CN"/>
        </w:rPr>
        <w:t>1.分布。</w:t>
      </w:r>
      <w:r>
        <w:rPr>
          <w:rFonts w:hint="default" w:ascii="Times New Roman" w:hAnsi="Times New Roman" w:eastAsia="仿宋_GB2312" w:cs="Times New Roman"/>
          <w:caps w:val="0"/>
          <w:color w:val="auto"/>
          <w:spacing w:val="0"/>
          <w:sz w:val="32"/>
          <w:szCs w:val="32"/>
          <w:shd w:val="clear" w:color="auto" w:fill="FFFFFF"/>
        </w:rPr>
        <w:t>包括土龙山镇、桦南镇、柳毛河镇、五道岗乡，闫家镇和大八浪乡部分平原区。土壤类型以</w:t>
      </w:r>
      <w:r>
        <w:rPr>
          <w:rFonts w:hint="default" w:ascii="Times New Roman" w:hAnsi="Times New Roman" w:eastAsia="仿宋_GB2312" w:cs="Times New Roman"/>
          <w:caps w:val="0"/>
          <w:color w:val="auto"/>
          <w:spacing w:val="0"/>
          <w:sz w:val="32"/>
          <w:szCs w:val="32"/>
          <w:shd w:val="clear" w:color="auto" w:fill="FFFFFF"/>
          <w:lang w:eastAsia="zh-CN"/>
        </w:rPr>
        <w:t>白浆土、</w:t>
      </w:r>
      <w:r>
        <w:rPr>
          <w:rFonts w:hint="default" w:ascii="Times New Roman" w:hAnsi="Times New Roman" w:eastAsia="仿宋_GB2312" w:cs="Times New Roman"/>
          <w:caps w:val="0"/>
          <w:color w:val="auto"/>
          <w:spacing w:val="0"/>
          <w:sz w:val="32"/>
          <w:szCs w:val="32"/>
          <w:shd w:val="clear" w:color="auto" w:fill="FFFFFF"/>
        </w:rPr>
        <w:t>黑土、草甸土为主。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2.保护措施。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（1）以有机质全耕层补给、增加耕层厚度、建立肥沃耕作层为重点，推广以秸秆翻埋（压）还田为核心技术，因地制宜实施秸秆碎混还田、少免耕秸秆覆盖还田等保护性耕作技术。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（2）在种养结合区因地制宜实施畜禽粪污无害化处理还田，与秸秆粉碎深翻还田同步作业。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（3）推广“一主多辅”轮作模式。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（4）白浆土耕地可结合秸秆粉碎+有机肥翻埋（压）还田等技术，消减白浆障碍层，快速培肥耕作层。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（5）完善灌排设施，规范化改造低洼内涝区排水系统。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（6）因地制宜开展田块整治，完善包括农田防护林在内的农田基础设施建设。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（二）坡耕地类型区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1.分布。</w:t>
      </w:r>
      <w:r>
        <w:rPr>
          <w:rFonts w:hint="default" w:ascii="Times New Roman" w:hAnsi="Times New Roman" w:eastAsia="仿宋_GB2312" w:cs="Times New Roman"/>
          <w:caps w:val="0"/>
          <w:color w:val="auto"/>
          <w:spacing w:val="0"/>
          <w:sz w:val="32"/>
          <w:szCs w:val="32"/>
          <w:shd w:val="clear" w:color="auto" w:fill="FFFFFF"/>
        </w:rPr>
        <w:t>主要分布于驼腰子镇、石头河子镇、孟家岗镇、金沙乡、明义乡、大八浪乡等低山丘陵及平原漫川漫岗区。土壤类型以暗棕壤、白浆土、黑土为主。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2.保护措施。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（1）坡耕地推行科学配置农田道路、防护林和沟道构建导排水体系，完善蓄水、导水、排水等水土保持配套设施，拦蓄和疏导地表径流；采用改顺坡垄为横坡垄</w:t>
      </w:r>
      <w:r>
        <w:rPr>
          <w:rFonts w:hint="eastAsia"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lang w:val="en-US" w:eastAsia="zh-CN"/>
        </w:rPr>
        <w:t>高条带种植。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（2）适宜地区修建梯田或可耕作地埂，推行改自然漫流为筑沟导流。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（3）实施少免耕秸秆覆盖、大垄条带种植、深松、增施有机肥等措施，阻控坡耕地侵蚀退化，保水增肥。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大中型侵蚀沟采取修建沟头跌水、沟底谷坊等沟道工程防护设施，营造沟头防护林、沟岸防蚀林、沟底防冲林等沟道林草防护措施，配合沟道削坡、生态袋护坡等措施，构建完整的沟壑防护体系，以有效控制沟头溯源侵蚀和沟岸扩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（5）小型侵蚀沟实施生态固沟、绿色过水通道、秸秆填沟等综合治理措施，控制侵蚀沟进一步发展或将侵蚀沟修复为耕地。</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微软雅黑" w:cs="Times New Roman"/>
          <w:color w:val="auto"/>
          <w:kern w:val="0"/>
          <w:sz w:val="32"/>
          <w:szCs w:val="32"/>
        </w:rPr>
      </w:pPr>
      <w:r>
        <w:rPr>
          <w:rFonts w:hint="default" w:ascii="Times New Roman" w:hAnsi="Times New Roman" w:eastAsia="仿宋_GB2312" w:cs="Times New Roman"/>
          <w:b/>
          <w:bCs/>
          <w:color w:val="auto"/>
          <w:kern w:val="0"/>
          <w:sz w:val="32"/>
          <w:szCs w:val="32"/>
        </w:rPr>
        <w:t>　　</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）水田类型区。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default" w:ascii="Times New Roman" w:hAnsi="Times New Roman" w:eastAsia="微软雅黑" w:cs="Times New Roman"/>
          <w:caps w:val="0"/>
          <w:color w:val="auto"/>
          <w:spacing w:val="0"/>
          <w:sz w:val="32"/>
          <w:szCs w:val="32"/>
        </w:rPr>
      </w:pPr>
      <w:r>
        <w:rPr>
          <w:rFonts w:hint="default" w:ascii="Times New Roman" w:hAnsi="Times New Roman" w:eastAsia="仿宋_GB2312" w:cs="Times New Roman"/>
          <w:b/>
          <w:bCs/>
          <w:color w:val="auto"/>
          <w:sz w:val="32"/>
          <w:szCs w:val="32"/>
          <w:highlight w:val="none"/>
          <w:lang w:val="en-US" w:eastAsia="zh-CN"/>
        </w:rPr>
        <w:t>1.分布。</w:t>
      </w:r>
      <w:r>
        <w:rPr>
          <w:rFonts w:hint="default" w:ascii="Times New Roman" w:hAnsi="Times New Roman" w:eastAsia="仿宋_GB2312" w:cs="Times New Roman"/>
          <w:caps w:val="0"/>
          <w:color w:val="auto"/>
          <w:spacing w:val="0"/>
          <w:sz w:val="32"/>
          <w:szCs w:val="32"/>
          <w:shd w:val="clear" w:color="auto" w:fill="FFFFFF"/>
        </w:rPr>
        <w:t>主要分布在梨树乡、大八浪乡、明义乡等水田区。土壤类型以水稻土、草甸土、黑土等为主。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2.保护措施。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（1）推广以水稻秸秆翻埋、旋耕、原茬搅浆为核心技术，合理配施有机肥的“三江模式”，增加土壤有机质，改善土壤结构，培肥地力。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（2）以地表水置换地下水，保护利用地下水资源。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（3）完善大中型灌区配套，加强灌排工程建设。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（4）规范化改造低洼内涝区排水系统，完善农田基础设施。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（5）因地制宜开展条田化改造</w:t>
      </w:r>
      <w:r>
        <w:rPr>
          <w:rFonts w:hint="default" w:ascii="Times New Roman" w:hAnsi="Times New Roman" w:eastAsia="仿宋_GB2312" w:cs="Times New Roman"/>
          <w:sz w:val="32"/>
          <w:szCs w:val="32"/>
          <w:highlight w:val="none"/>
          <w:lang w:val="en-US" w:eastAsia="zh-CN"/>
        </w:rPr>
        <w:t>，开展田块整治，完善农田基础设施。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微软雅黑" w:cs="Times New Roman"/>
          <w:color w:val="auto"/>
          <w:kern w:val="0"/>
          <w:sz w:val="32"/>
          <w:szCs w:val="32"/>
        </w:rPr>
      </w:pPr>
      <w:r>
        <w:rPr>
          <w:rFonts w:hint="default" w:ascii="Times New Roman" w:hAnsi="Times New Roman" w:eastAsia="仿宋_GB2312" w:cs="Times New Roman"/>
          <w:sz w:val="32"/>
          <w:szCs w:val="32"/>
          <w:highlight w:val="none"/>
          <w:lang w:val="en-US" w:eastAsia="zh-CN"/>
        </w:rPr>
        <w:t>（6）推广水稻节水控灌技术，提高田间水利用率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四、黑土</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地</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保护措施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（一）工程类措施</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耕地保护工程。一是严守耕地保护红线</w:t>
      </w:r>
      <w:r>
        <w:rPr>
          <w:rFonts w:hint="default" w:ascii="Times New Roman" w:hAnsi="Times New Roman" w:eastAsia="仿宋_GB2312" w:cs="Times New Roman"/>
          <w:color w:val="000000" w:themeColor="text1"/>
          <w:sz w:val="32"/>
          <w:szCs w:val="32"/>
          <w14:textFill>
            <w14:solidFill>
              <w14:schemeClr w14:val="tx1"/>
            </w14:solidFill>
          </w14:textFill>
        </w:rPr>
        <w:t>。落实生态保护红线、环境质量底线和资源利用上线硬约束，坚持最严格的耕地保护制度和最严格的节约集约用地制度。强化土地规划管控和土地用途管制，严格核定新增建设用地指标，严格落实耕地占补平衡责任，严格控制非农业建设占用耕地。</w:t>
      </w:r>
      <w:r>
        <w:rPr>
          <w:rFonts w:hint="default" w:ascii="Times New Roman" w:hAnsi="Times New Roman" w:eastAsia="仿宋_GB2312" w:cs="Times New Roman"/>
          <w:b/>
          <w:bCs/>
          <w:color w:val="000000" w:themeColor="text1"/>
          <w:sz w:val="32"/>
          <w:szCs w:val="32"/>
          <w14:textFill>
            <w14:solidFill>
              <w14:schemeClr w14:val="tx1"/>
            </w14:solidFill>
          </w14:textFill>
        </w:rPr>
        <w:t>二是在“两区”优先开展耕地保护工程建设。</w:t>
      </w:r>
      <w:r>
        <w:rPr>
          <w:rFonts w:hint="default" w:ascii="Times New Roman" w:hAnsi="Times New Roman" w:eastAsia="仿宋_GB2312" w:cs="Times New Roman"/>
          <w:color w:val="000000" w:themeColor="text1"/>
          <w:sz w:val="32"/>
          <w:szCs w:val="32"/>
          <w14:textFill>
            <w14:solidFill>
              <w14:schemeClr w14:val="tx1"/>
            </w14:solidFill>
          </w14:textFill>
        </w:rPr>
        <w:t>优先支持粮食生产功能区和重要农产品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14:textFill>
            <w14:solidFill>
              <w14:schemeClr w14:val="tx1"/>
            </w14:solidFill>
          </w14:textFill>
        </w:rPr>
        <w:t>保护区开展耕地保护工程建设。积极推进“两区”范围内的高标准农田建设，加强“两区”耕地用途管控，确保“两区”耕地数量不减少、质量有提高、用途不改变。</w:t>
      </w:r>
    </w:p>
    <w:tbl>
      <w:tblPr>
        <w:tblStyle w:val="9"/>
        <w:tblpPr w:leftFromText="180" w:rightFromText="180" w:vertAnchor="text" w:horzAnchor="page" w:tblpXSpec="center" w:tblpY="728"/>
        <w:tblOverlap w:val="never"/>
        <w:tblW w:w="4998" w:type="pct"/>
        <w:jc w:val="center"/>
        <w:tblLayout w:type="autofit"/>
        <w:tblCellMar>
          <w:top w:w="0" w:type="dxa"/>
          <w:left w:w="108" w:type="dxa"/>
          <w:bottom w:w="0" w:type="dxa"/>
          <w:right w:w="108" w:type="dxa"/>
        </w:tblCellMar>
      </w:tblPr>
      <w:tblGrid>
        <w:gridCol w:w="1173"/>
        <w:gridCol w:w="2441"/>
        <w:gridCol w:w="5466"/>
      </w:tblGrid>
      <w:tr>
        <w:tblPrEx>
          <w:tblCellMar>
            <w:top w:w="0" w:type="dxa"/>
            <w:left w:w="108" w:type="dxa"/>
            <w:bottom w:w="0" w:type="dxa"/>
            <w:right w:w="108" w:type="dxa"/>
          </w:tblCellMar>
        </w:tblPrEx>
        <w:trPr>
          <w:trHeight w:val="23"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10" w:lineRule="exact"/>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类别</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10" w:lineRule="exact"/>
              <w:ind w:firstLine="643" w:firstLineChars="200"/>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任务</w:t>
            </w:r>
          </w:p>
        </w:tc>
        <w:tc>
          <w:tcPr>
            <w:tcW w:w="30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10" w:lineRule="exact"/>
              <w:ind w:firstLine="643" w:firstLineChars="200"/>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预期目标</w:t>
            </w:r>
          </w:p>
        </w:tc>
      </w:tr>
      <w:tr>
        <w:tblPrEx>
          <w:tblCellMar>
            <w:top w:w="0" w:type="dxa"/>
            <w:left w:w="108" w:type="dxa"/>
            <w:bottom w:w="0" w:type="dxa"/>
            <w:right w:w="108" w:type="dxa"/>
          </w:tblCellMar>
        </w:tblPrEx>
        <w:trPr>
          <w:trHeight w:val="23" w:hRule="atLeast"/>
          <w:jc w:val="center"/>
        </w:trPr>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157" w:afterLines="50" w:line="610" w:lineRule="exact"/>
              <w:ind w:left="0" w:leftChars="0" w:right="0" w:rightChars="0"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耕地</w:t>
            </w:r>
          </w:p>
          <w:p>
            <w:pPr>
              <w:keepNext w:val="0"/>
              <w:keepLines w:val="0"/>
              <w:pageBreakBefore w:val="0"/>
              <w:widowControl w:val="0"/>
              <w:kinsoku/>
              <w:wordWrap/>
              <w:overflowPunct/>
              <w:topLinePunct w:val="0"/>
              <w:autoSpaceDE/>
              <w:autoSpaceDN/>
              <w:bidi w:val="0"/>
              <w:adjustRightInd/>
              <w:snapToGrid/>
              <w:spacing w:after="157" w:afterLines="50" w:line="610" w:lineRule="exact"/>
              <w:ind w:left="0" w:leftChars="0" w:right="0" w:rightChars="0" w:firstLine="0" w:firstLineChars="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数量</w:t>
            </w:r>
          </w:p>
        </w:tc>
        <w:tc>
          <w:tcPr>
            <w:tcW w:w="1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157" w:afterLines="50" w:line="61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严控耕地保护红线</w:t>
            </w:r>
          </w:p>
        </w:tc>
        <w:tc>
          <w:tcPr>
            <w:tcW w:w="30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157" w:afterLines="50" w:line="61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确保完成规划期内黑土耕地保有量和永久基本农田保护任务。</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ajorEastAsia"/>
          <w:b w:val="0"/>
          <w:bCs w:val="0"/>
          <w:color w:val="000000" w:themeColor="text1"/>
          <w:sz w:val="28"/>
          <w:szCs w:val="28"/>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专栏2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耕地数量管控工程</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水利化建设工程。一是加强水利工程建设。</w:t>
      </w:r>
      <w:r>
        <w:rPr>
          <w:rFonts w:hint="default" w:ascii="Times New Roman" w:hAnsi="Times New Roman" w:eastAsia="仿宋_GB2312" w:cs="Times New Roman"/>
          <w:color w:val="000000" w:themeColor="text1"/>
          <w:sz w:val="32"/>
          <w:szCs w:val="32"/>
          <w14:textFill>
            <w14:solidFill>
              <w14:schemeClr w14:val="tx1"/>
            </w14:solidFill>
          </w14:textFill>
        </w:rPr>
        <w:t>加快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推进灌区</w:t>
      </w:r>
      <w:r>
        <w:rPr>
          <w:rFonts w:hint="default" w:ascii="Times New Roman" w:hAnsi="Times New Roman" w:eastAsia="仿宋_GB2312" w:cs="Times New Roman"/>
          <w:color w:val="000000" w:themeColor="text1"/>
          <w:sz w:val="32"/>
          <w:szCs w:val="32"/>
          <w14:textFill>
            <w14:solidFill>
              <w14:schemeClr w14:val="tx1"/>
            </w14:solidFill>
          </w14:textFill>
        </w:rPr>
        <w:t>工程建设，实施大中型灌区续建配套与节水改造、大型泵站更新改造、旱田节水灌溉等工程。优化灌溉布局，调整用水结构，大力推进地表水置换地下水，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提高灌溉保证率，</w:t>
      </w:r>
      <w:r>
        <w:rPr>
          <w:rFonts w:hint="default" w:ascii="Times New Roman" w:hAnsi="Times New Roman" w:eastAsia="仿宋_GB2312" w:cs="Times New Roman"/>
          <w:color w:val="000000" w:themeColor="text1"/>
          <w:sz w:val="32"/>
          <w:szCs w:val="32"/>
          <w14:textFill>
            <w14:solidFill>
              <w14:schemeClr w14:val="tx1"/>
            </w14:solidFill>
          </w14:textFill>
        </w:rPr>
        <w:t>科学利用水资源，农田灌溉水质标准达到绿色生产规范要求。</w:t>
      </w:r>
      <w:r>
        <w:rPr>
          <w:rFonts w:hint="default" w:ascii="Times New Roman" w:hAnsi="Times New Roman" w:eastAsia="仿宋_GB2312" w:cs="Times New Roman"/>
          <w:b/>
          <w:bCs/>
          <w:color w:val="000000" w:themeColor="text1"/>
          <w:sz w:val="32"/>
          <w:szCs w:val="32"/>
          <w14:textFill>
            <w14:solidFill>
              <w14:schemeClr w14:val="tx1"/>
            </w14:solidFill>
          </w14:textFill>
        </w:rPr>
        <w:t>二是发展节水灌溉。</w:t>
      </w:r>
      <w:r>
        <w:rPr>
          <w:rFonts w:hint="default" w:ascii="Times New Roman" w:hAnsi="Times New Roman" w:eastAsia="仿宋_GB2312" w:cs="Times New Roman"/>
          <w:color w:val="000000" w:themeColor="text1"/>
          <w:sz w:val="32"/>
          <w:szCs w:val="32"/>
          <w14:textFill>
            <w14:solidFill>
              <w14:schemeClr w14:val="tx1"/>
            </w14:solidFill>
          </w14:textFill>
        </w:rPr>
        <w:t>实行最严格的水资源管理制度，以水资源承载能力为基本前提，从严控制地下水开采，合理确定农业发展目标和农业生产布局。在水资源超载区，退减不合理灌溉面积。严格控制井灌稻发展，推广水稻节水控灌技术，增加有效灌溉面积。调整种植结构，推广旱作节水技术，发展喷灌、滴灌等节水灌溉技术，转变用水方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，节约利用水资源</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14:textFill>
            <w14:solidFill>
              <w14:schemeClr w14:val="tx1"/>
            </w14:solidFill>
          </w14:textFill>
        </w:rPr>
        <w:t>田间配套建设工程</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一是完善农田输变电设施设备。</w:t>
      </w:r>
      <w:r>
        <w:rPr>
          <w:rFonts w:hint="default" w:ascii="Times New Roman" w:hAnsi="Times New Roman" w:eastAsia="仿宋_GB2312" w:cs="Times New Roman"/>
          <w:color w:val="000000" w:themeColor="text1"/>
          <w:sz w:val="32"/>
          <w:szCs w:val="32"/>
          <w14:textFill>
            <w14:solidFill>
              <w14:schemeClr w14:val="tx1"/>
            </w14:solidFill>
          </w14:textFill>
        </w:rPr>
        <w:t>对适合电力灌排和信息化管理的农田，依托农电改造骨干工程，铺设高压和低压输电线路，配套建设变配电设施，为泵站、机电井以及信息工程等提供电力保障。</w:t>
      </w:r>
      <w:r>
        <w:rPr>
          <w:rFonts w:hint="default" w:ascii="Times New Roman" w:hAnsi="Times New Roman" w:eastAsia="仿宋_GB2312" w:cs="Times New Roman"/>
          <w:b/>
          <w:bCs/>
          <w:color w:val="000000" w:themeColor="text1"/>
          <w:sz w:val="32"/>
          <w:szCs w:val="32"/>
          <w14:textFill>
            <w14:solidFill>
              <w14:schemeClr w14:val="tx1"/>
            </w14:solidFill>
          </w14:textFill>
        </w:rPr>
        <w:t>二是完善田间路网。</w:t>
      </w:r>
      <w:r>
        <w:rPr>
          <w:rFonts w:hint="default" w:ascii="Times New Roman" w:hAnsi="Times New Roman" w:eastAsia="仿宋_GB2312" w:cs="Times New Roman"/>
          <w:color w:val="000000" w:themeColor="text1"/>
          <w:sz w:val="32"/>
          <w:szCs w:val="32"/>
          <w14:textFill>
            <w14:solidFill>
              <w14:schemeClr w14:val="tx1"/>
            </w14:solidFill>
          </w14:textFill>
        </w:rPr>
        <w:t>优化田间道、生产路布局，合理确定路网密度，整修和新建田间道、生产路，配套建设农机下田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坡道、桥涵等固定或移动附属设施。原则上以现有路改造提高为主，适当拓展连通路和断头路，满足农业机械作业和农产品运输。</w:t>
      </w:r>
      <w:r>
        <w:rPr>
          <w:rFonts w:hint="default" w:ascii="Times New Roman" w:hAnsi="Times New Roman" w:eastAsia="仿宋_GB2312" w:cs="Times New Roman"/>
          <w:b/>
          <w:bCs/>
          <w:color w:val="000000" w:themeColor="text1"/>
          <w:sz w:val="32"/>
          <w:szCs w:val="32"/>
          <w14:textFill>
            <w14:solidFill>
              <w14:schemeClr w14:val="tx1"/>
            </w14:solidFill>
          </w14:textFill>
        </w:rPr>
        <w:t>三是实施土地平整工程。</w:t>
      </w:r>
      <w:r>
        <w:rPr>
          <w:rFonts w:hint="default" w:ascii="Times New Roman" w:hAnsi="Times New Roman" w:eastAsia="仿宋_GB2312" w:cs="Times New Roman"/>
          <w:color w:val="000000" w:themeColor="text1"/>
          <w:sz w:val="32"/>
          <w:szCs w:val="32"/>
          <w14:textFill>
            <w14:solidFill>
              <w14:schemeClr w14:val="tx1"/>
            </w14:solidFill>
          </w14:textFill>
        </w:rPr>
        <w:t>按照田、水、路、林整体配置和农机生产要求，开展田块田面平整，适当调整田块规格，削高填低等，完成地表平整度、横向地表坡降和纵向地表坡降三项任务，使田块规格达标，耕作田块平整，连片成方。</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四是加强农机化建设。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入开展主要农作物生产全程机械化行动，全面提升作业机械动力、作业效率和质量标准。发挥农机补贴政策导向作用，加强先进适用、安全可靠、生产急需的农业机械推广和使用，装备大中型动力拖拉机、免耕播种机、深松整地机、有机肥抛撒车等配套农机具，提升农机装备配套水平，主要农作物实现产前、产中、产后全程机械化。</w:t>
      </w:r>
    </w:p>
    <w:p>
      <w:pPr>
        <w:keepNext w:val="0"/>
        <w:keepLines w:val="0"/>
        <w:pageBreakBefore w:val="0"/>
        <w:widowControl w:val="0"/>
        <w:kinsoku/>
        <w:wordWrap/>
        <w:overflowPunct/>
        <w:topLinePunct w:val="0"/>
        <w:autoSpaceDE/>
        <w:autoSpaceDN/>
        <w:bidi w:val="0"/>
        <w:adjustRightInd/>
        <w:snapToGrid/>
        <w:spacing w:line="610" w:lineRule="exact"/>
        <w:ind w:firstLine="643"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4.监测</w:t>
      </w:r>
      <w:r>
        <w:rPr>
          <w:rFonts w:hint="default" w:ascii="Times New Roman" w:hAnsi="Times New Roman" w:eastAsia="仿宋_GB2312" w:cs="Times New Roman"/>
          <w:b/>
          <w:bCs/>
          <w:color w:val="000000" w:themeColor="text1"/>
          <w:sz w:val="32"/>
          <w:szCs w:val="32"/>
          <w14:textFill>
            <w14:solidFill>
              <w14:schemeClr w14:val="tx1"/>
            </w14:solidFill>
          </w14:textFill>
        </w:rPr>
        <w:t>信息化工程。一是建立耕地质量调查监测评价。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开展黑土耕地现状及环境质量详查，建立黑土耕地保护信息平台。</w:t>
      </w:r>
      <w:r>
        <w:rPr>
          <w:rFonts w:hint="default" w:ascii="Times New Roman" w:hAnsi="Times New Roman" w:eastAsia="仿宋_GB2312" w:cs="Times New Roman"/>
          <w:color w:val="000000" w:themeColor="text1"/>
          <w:sz w:val="32"/>
          <w:szCs w:val="32"/>
          <w14:textFill>
            <w14:solidFill>
              <w14:schemeClr w14:val="tx1"/>
            </w14:solidFill>
          </w14:textFill>
        </w:rPr>
        <w:t>建设完善覆盖主要土壤亚类的耕地质量长期定位监测点，利用现有设施条件，建设田间监测小区。</w:t>
      </w:r>
      <w:r>
        <w:rPr>
          <w:rFonts w:hint="default" w:ascii="Times New Roman" w:hAnsi="Times New Roman" w:eastAsia="仿宋_GB2312" w:cs="Times New Roman"/>
          <w:b/>
          <w:bCs/>
          <w:color w:val="000000" w:themeColor="text1"/>
          <w:sz w:val="32"/>
          <w:szCs w:val="32"/>
          <w14:textFill>
            <w14:solidFill>
              <w14:schemeClr w14:val="tx1"/>
            </w14:solidFill>
          </w14:textFill>
        </w:rPr>
        <w:t>二是完善生物灾害预警防控体系。</w:t>
      </w:r>
      <w:r>
        <w:rPr>
          <w:rFonts w:hint="default" w:ascii="Times New Roman" w:hAnsi="Times New Roman" w:eastAsia="仿宋_GB2312" w:cs="Times New Roman"/>
          <w:color w:val="000000" w:themeColor="text1"/>
          <w:sz w:val="32"/>
          <w:szCs w:val="32"/>
          <w14:textFill>
            <w14:solidFill>
              <w14:schemeClr w14:val="tx1"/>
            </w14:solidFill>
          </w14:textFill>
        </w:rPr>
        <w:t>坚持预防为主，综合防治，反应快速、用药减量、作物安全的原则，进一步加强和完善现代植保体系建设。</w:t>
      </w:r>
      <w:r>
        <w:rPr>
          <w:rFonts w:hint="default" w:ascii="Times New Roman" w:hAnsi="Times New Roman" w:eastAsia="仿宋_GB2312" w:cs="Times New Roman"/>
          <w:b/>
          <w:bCs/>
          <w:color w:val="000000" w:themeColor="text1"/>
          <w:sz w:val="32"/>
          <w:szCs w:val="32"/>
          <w14:textFill>
            <w14:solidFill>
              <w14:schemeClr w14:val="tx1"/>
            </w14:solidFill>
          </w14:textFill>
        </w:rPr>
        <w:t>三是完善农产品质量安全监管体系。</w:t>
      </w:r>
      <w:r>
        <w:rPr>
          <w:rFonts w:hint="default" w:ascii="Times New Roman" w:hAnsi="Times New Roman" w:eastAsia="仿宋_GB2312" w:cs="Times New Roman"/>
          <w:color w:val="000000" w:themeColor="text1"/>
          <w:sz w:val="32"/>
          <w:szCs w:val="32"/>
          <w14:textFill>
            <w14:solidFill>
              <w14:schemeClr w14:val="tx1"/>
            </w14:solidFill>
          </w14:textFill>
        </w:rPr>
        <w:t>建立健全农产品质量安全监管服务体系。开展产地环境和农业投入品监测，提高农产品质量安全监测信息化水平。</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专栏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3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监测信息工程</w:t>
      </w:r>
    </w:p>
    <w:tbl>
      <w:tblPr>
        <w:tblStyle w:val="9"/>
        <w:tblW w:w="8619" w:type="dxa"/>
        <w:jc w:val="center"/>
        <w:tblLayout w:type="fixed"/>
        <w:tblCellMar>
          <w:top w:w="0" w:type="dxa"/>
          <w:left w:w="108" w:type="dxa"/>
          <w:bottom w:w="0" w:type="dxa"/>
          <w:right w:w="108" w:type="dxa"/>
        </w:tblCellMar>
      </w:tblPr>
      <w:tblGrid>
        <w:gridCol w:w="1768"/>
        <w:gridCol w:w="4578"/>
        <w:gridCol w:w="2273"/>
      </w:tblGrid>
      <w:tr>
        <w:tblPrEx>
          <w:tblCellMar>
            <w:top w:w="0" w:type="dxa"/>
            <w:left w:w="108" w:type="dxa"/>
            <w:bottom w:w="0" w:type="dxa"/>
            <w:right w:w="108" w:type="dxa"/>
          </w:tblCellMar>
        </w:tblPrEx>
        <w:trPr>
          <w:trHeight w:val="439"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类别</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采取措施</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预期目标</w:t>
            </w:r>
          </w:p>
        </w:tc>
      </w:tr>
      <w:tr>
        <w:tblPrEx>
          <w:tblCellMar>
            <w:top w:w="0" w:type="dxa"/>
            <w:left w:w="108" w:type="dxa"/>
            <w:bottom w:w="0" w:type="dxa"/>
            <w:right w:w="108" w:type="dxa"/>
          </w:tblCellMar>
        </w:tblPrEx>
        <w:trPr>
          <w:trHeight w:val="1485"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耕地质量调查监测体系</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建立健全黑土耕地质量长期定位监测点和调查点，分类型建立黑土地保护利用长期监测研究站；探索利用地理信息系统，空间定位技术和遥感技术等现代化手段，建立黑土耕地质量监测体系。</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建立完善黑土耕地质量监测体系。</w:t>
            </w:r>
          </w:p>
        </w:tc>
      </w:tr>
      <w:tr>
        <w:tblPrEx>
          <w:tblCellMar>
            <w:top w:w="0" w:type="dxa"/>
            <w:left w:w="108" w:type="dxa"/>
            <w:bottom w:w="0" w:type="dxa"/>
            <w:right w:w="108" w:type="dxa"/>
          </w:tblCellMar>
        </w:tblPrEx>
        <w:trPr>
          <w:trHeight w:val="876" w:hRule="atLeast"/>
          <w:jc w:val="center"/>
        </w:trPr>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实施效果评价</w:t>
            </w:r>
          </w:p>
        </w:tc>
        <w:tc>
          <w:tcPr>
            <w:tcW w:w="4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开展黑土地保护利用工程实施效果评价；探索第三方评价机制。</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建立黑土地保护效果评价体系。</w:t>
            </w:r>
          </w:p>
        </w:tc>
      </w:tr>
    </w:tbl>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14:textFill>
            <w14:solidFill>
              <w14:schemeClr w14:val="tx1"/>
            </w14:solidFill>
          </w14:textFill>
        </w:rPr>
        <w:t>农业生态建设工程。</w:t>
      </w:r>
      <w:r>
        <w:rPr>
          <w:rFonts w:hint="default" w:ascii="Times New Roman" w:hAnsi="Times New Roman" w:eastAsia="仿宋_GB2312" w:cs="Times New Roman"/>
          <w:color w:val="000000" w:themeColor="text1"/>
          <w:sz w:val="32"/>
          <w:szCs w:val="32"/>
          <w14:textFill>
            <w14:solidFill>
              <w14:schemeClr w14:val="tx1"/>
            </w14:solidFill>
          </w14:textFill>
        </w:rPr>
        <w:t>营造农田防护林、“四旁绿化”，建立高标准农田的绿色屏障，防止风蚀水蚀。禁止在十五度以上坡地开垦种植农作物。对十五度以上已经开垦并种植农作物的耕地制定退耕计划，逐步还林、还草。在十五度以上坡地种植经济林的，应当科学选择树种，合理确定规模，采取水土保持措施，防止造成水土流失。</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（二）农艺类措施</w:t>
      </w:r>
    </w:p>
    <w:p>
      <w:pPr>
        <w:keepNext w:val="0"/>
        <w:keepLines w:val="0"/>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耕地质量提升。一是推行科学轮作。</w:t>
      </w:r>
      <w:r>
        <w:rPr>
          <w:rFonts w:hint="default" w:ascii="Times New Roman" w:hAnsi="Times New Roman" w:eastAsia="仿宋_GB2312" w:cs="Times New Roman"/>
          <w:color w:val="000000" w:themeColor="text1"/>
          <w:sz w:val="32"/>
          <w:szCs w:val="32"/>
          <w14:textFill>
            <w14:solidFill>
              <w14:schemeClr w14:val="tx1"/>
            </w14:solidFill>
          </w14:textFill>
        </w:rPr>
        <w:t>加快生态保护与修复，落实好耕地轮作休耕试点任务，探索一批可复制、可推广的耕地轮作技术模式，推进形成农业绿色生产方式。</w:t>
      </w: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是推行深松整地。</w:t>
      </w:r>
      <w:r>
        <w:rPr>
          <w:rFonts w:hint="default" w:ascii="Times New Roman" w:hAnsi="Times New Roman" w:eastAsia="仿宋_GB2312" w:cs="Times New Roman"/>
          <w:color w:val="auto"/>
          <w:sz w:val="32"/>
          <w:szCs w:val="32"/>
        </w:rPr>
        <w:t>疏松深层土壤，提高天然降雨利用率，增</w:t>
      </w:r>
      <w:r>
        <w:rPr>
          <w:rFonts w:hint="default" w:ascii="Times New Roman" w:hAnsi="Times New Roman" w:eastAsia="仿宋_GB2312" w:cs="Times New Roman"/>
          <w:color w:val="000000" w:themeColor="text1"/>
          <w:sz w:val="32"/>
          <w:szCs w:val="32"/>
          <w14:textFill>
            <w14:solidFill>
              <w14:schemeClr w14:val="tx1"/>
            </w14:solidFill>
          </w14:textFill>
        </w:rPr>
        <w:t>加土壤蓄水保墒能力，减少地表径流，防止水土流失。秋季根据土壤基础条件和降雨量特点，用大马力拖拉机带专用深松机实施整地作业，深机械化深松作业3年一次，作业深度30厘米以上，打破犁底层，增加土壤通透性和耕层厚度，建立“</w:t>
      </w:r>
      <w:r>
        <w:rPr>
          <w:rFonts w:hint="default" w:ascii="Times New Roman" w:hAnsi="Times New Roman" w:eastAsia="仿宋_GB2312" w:cs="Times New Roman"/>
          <w:color w:val="auto"/>
          <w:sz w:val="32"/>
          <w:szCs w:val="32"/>
        </w:rPr>
        <w:t>土壤水库”，提高土壤抗旱防涝、蓄水保墒能力，实现春旱秋防。</w:t>
      </w: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rPr>
        <w:t>是开展保护性耕作。</w:t>
      </w:r>
      <w:r>
        <w:rPr>
          <w:rFonts w:hint="default" w:ascii="Times New Roman" w:hAnsi="Times New Roman" w:eastAsia="仿宋_GB2312" w:cs="Times New Roman"/>
          <w:b w:val="0"/>
          <w:bCs w:val="0"/>
          <w:color w:val="auto"/>
          <w:sz w:val="32"/>
          <w:szCs w:val="32"/>
        </w:rPr>
        <w:t>大力实施秸秆还田</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rPr>
        <w:t>采取在秋季收获后秸秆粉碎抛撒田间状态下，实施机械翻埋模式、覆盖模式、机械灭茬及联合整地碎混模式等方式实现作物秸秆还田，增加土壤碳储存和腐殖质，恢复土壤团粒结构，改善土壤板结性状。农作物秸秆综合</w:t>
      </w:r>
      <w:r>
        <w:rPr>
          <w:rFonts w:hint="default" w:ascii="Times New Roman" w:hAnsi="Times New Roman" w:eastAsia="仿宋_GB2312" w:cs="Times New Roman"/>
          <w:color w:val="auto"/>
          <w:sz w:val="32"/>
          <w:szCs w:val="32"/>
          <w:lang w:eastAsia="zh-CN"/>
        </w:rPr>
        <w:t>利用率达到</w:t>
      </w:r>
      <w:r>
        <w:rPr>
          <w:rFonts w:hint="default" w:ascii="Times New Roman" w:hAnsi="Times New Roman" w:eastAsia="仿宋_GB2312" w:cs="Times New Roman"/>
          <w:color w:val="auto"/>
          <w:sz w:val="32"/>
          <w:szCs w:val="32"/>
          <w:lang w:val="en-US" w:eastAsia="zh-CN"/>
        </w:rPr>
        <w:t>90%以上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采取农机、农艺措施相结合，防止黑土耕地土壤风蚀水蚀，固土培肥，提升耕地蓄水保墒能力。减少土壤耕作次数，实施地表覆盖及保护性耕作，采取种植覆盖作物、秸秆覆盖或者碎混还田；采用免耕播种机原垄卡种、大垄或平作种植；采取深松与耙地结合的“少耕”耕种方式，减少土壤扰动，逐步建立土壤良好结构。</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b/>
          <w:bCs/>
          <w:color w:val="000000" w:themeColor="text1"/>
          <w:sz w:val="32"/>
          <w:szCs w:val="32"/>
          <w14:textFill>
            <w14:solidFill>
              <w14:schemeClr w14:val="tx1"/>
            </w14:solidFill>
          </w14:textFill>
        </w:rPr>
        <w:t>加大土地复垦力度。</w:t>
      </w:r>
      <w:r>
        <w:rPr>
          <w:rFonts w:hint="default" w:ascii="Times New Roman" w:hAnsi="Times New Roman" w:eastAsia="仿宋_GB2312" w:cs="Times New Roman"/>
          <w:color w:val="000000" w:themeColor="text1"/>
          <w:sz w:val="32"/>
          <w:szCs w:val="32"/>
          <w14:textFill>
            <w14:solidFill>
              <w14:schemeClr w14:val="tx1"/>
            </w14:solidFill>
          </w14:textFill>
        </w:rPr>
        <w:t>确保被占用及破坏耕地得到及时修复。除国家批复的重点项目及省重点项目外，一律不得占用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永久</w:t>
      </w:r>
      <w:r>
        <w:rPr>
          <w:rFonts w:hint="default" w:ascii="Times New Roman" w:hAnsi="Times New Roman" w:eastAsia="仿宋_GB2312" w:cs="Times New Roman"/>
          <w:color w:val="000000" w:themeColor="text1"/>
          <w:sz w:val="32"/>
          <w:szCs w:val="32"/>
          <w14:textFill>
            <w14:solidFill>
              <w14:schemeClr w14:val="tx1"/>
            </w14:solidFill>
          </w14:textFill>
        </w:rPr>
        <w:t>基本农田，尤其是对设施农用地及临时用地占用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永久</w:t>
      </w:r>
      <w:r>
        <w:rPr>
          <w:rFonts w:hint="default" w:ascii="Times New Roman" w:hAnsi="Times New Roman" w:eastAsia="仿宋_GB2312" w:cs="Times New Roman"/>
          <w:color w:val="000000" w:themeColor="text1"/>
          <w:sz w:val="32"/>
          <w:szCs w:val="32"/>
          <w14:textFill>
            <w14:solidFill>
              <w14:schemeClr w14:val="tx1"/>
            </w14:solidFill>
          </w14:textFill>
        </w:rPr>
        <w:t>基本农田从严审批，从严管理，对新增建设用地及设施农用地在施工前实施表土剥离。加大对矿山、煤窑、砖窑、灌区占用耕地的复垦和修复力度。</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专栏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综合地力提升</w:t>
      </w:r>
    </w:p>
    <w:tbl>
      <w:tblPr>
        <w:tblStyle w:val="9"/>
        <w:tblW w:w="8566" w:type="dxa"/>
        <w:jc w:val="center"/>
        <w:tblLayout w:type="fixed"/>
        <w:tblCellMar>
          <w:top w:w="0" w:type="dxa"/>
          <w:left w:w="108" w:type="dxa"/>
          <w:bottom w:w="0" w:type="dxa"/>
          <w:right w:w="108" w:type="dxa"/>
        </w:tblCellMar>
      </w:tblPr>
      <w:tblGrid>
        <w:gridCol w:w="1452"/>
        <w:gridCol w:w="4896"/>
        <w:gridCol w:w="2218"/>
      </w:tblGrid>
      <w:tr>
        <w:tblPrEx>
          <w:tblCellMar>
            <w:top w:w="0" w:type="dxa"/>
            <w:left w:w="108" w:type="dxa"/>
            <w:bottom w:w="0" w:type="dxa"/>
            <w:right w:w="108" w:type="dxa"/>
          </w:tblCellMar>
        </w:tblPrEx>
        <w:trPr>
          <w:trHeight w:val="560"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类别</w:t>
            </w: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采取措施</w:t>
            </w:r>
          </w:p>
        </w:tc>
        <w:tc>
          <w:tcPr>
            <w:tcW w:w="2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预期目标</w:t>
            </w:r>
          </w:p>
        </w:tc>
      </w:tr>
      <w:tr>
        <w:tblPrEx>
          <w:tblCellMar>
            <w:top w:w="0" w:type="dxa"/>
            <w:left w:w="108" w:type="dxa"/>
            <w:bottom w:w="0" w:type="dxa"/>
            <w:right w:w="108" w:type="dxa"/>
          </w:tblCellMar>
        </w:tblPrEx>
        <w:trPr>
          <w:trHeight w:val="5015"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深松轮作</w:t>
            </w: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用大马力拖拉机带专用深松机实施整地作业，作业深度30厘米以上，打破犁底层，加厚耕层。继续推广“一主多辅”种植模式，以玉米与大豆轮作为主，杂粮杂豆、蔬菜、薯类、饲草、油料作物、中草药（1年生）等轮作为辅，大力提倡“三三制”轮作，允许实行“二二制”轮作。</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到2025年，黑土耕地保护利用示范区实施免耕少耕秸秆覆盖还田、秸秆翻埋（压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）还田、秸秆碎混还田等保护性耕作面积累计达到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775万亩次</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tc>
      </w:tr>
      <w:tr>
        <w:tblPrEx>
          <w:tblCellMar>
            <w:top w:w="0" w:type="dxa"/>
            <w:left w:w="108" w:type="dxa"/>
            <w:bottom w:w="0" w:type="dxa"/>
            <w:right w:w="108" w:type="dxa"/>
          </w:tblCellMar>
        </w:tblPrEx>
        <w:trPr>
          <w:trHeight w:val="1161"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保护性耕作</w:t>
            </w: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旱田区因地制宜地实施秸秆翻埋（压）、碎混、少免耕覆盖等还田技术；水田采取秸秆粉碎翻埋还田、原茬旋耕和原茬搅浆整地技术。</w:t>
            </w: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107" w:hRule="atLeast"/>
          <w:jc w:val="center"/>
        </w:trPr>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有机肥还田</w:t>
            </w:r>
          </w:p>
        </w:tc>
        <w:tc>
          <w:tcPr>
            <w:tcW w:w="4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利用有机肥专用施肥机械将畜禽粪污无害化处理或按比例与秸秆混合堆沤生产的有机肥施到农田。</w:t>
            </w: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农业面源污染防治。一是开展农药包装物回收处理。</w:t>
      </w:r>
      <w:r>
        <w:rPr>
          <w:rFonts w:hint="default" w:ascii="Times New Roman" w:hAnsi="Times New Roman" w:eastAsia="仿宋_GB2312" w:cs="Times New Roman"/>
          <w:color w:val="000000" w:themeColor="text1"/>
          <w:sz w:val="32"/>
          <w:szCs w:val="32"/>
          <w14:textFill>
            <w14:solidFill>
              <w14:schemeClr w14:val="tx1"/>
            </w14:solidFill>
          </w14:textFill>
        </w:rPr>
        <w:t>严格落实农药生产企业和农药经营者的农药包装废弃物回收主体责任，积极引导农药使用者不随意丢弃农药包装废弃物。因地制宜，采取</w:t>
      </w:r>
      <w:r>
        <w:rPr>
          <w:rFonts w:hint="default" w:ascii="Times New Roman" w:hAnsi="Times New Roman" w:eastAsia="仿宋_GB2312" w:cs="Times New Roman"/>
          <w:color w:val="auto"/>
          <w:sz w:val="32"/>
          <w:szCs w:val="32"/>
        </w:rPr>
        <w:t>适合本地的农药废弃物回收模式，切实推动包装物的回收利用到2025年，</w:t>
      </w:r>
      <w:r>
        <w:rPr>
          <w:rFonts w:hint="default"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rPr>
        <w:t>农药包装废弃物回收率达到90%。</w:t>
      </w:r>
      <w:r>
        <w:rPr>
          <w:rFonts w:hint="default" w:ascii="Times New Roman" w:hAnsi="Times New Roman" w:eastAsia="仿宋_GB2312" w:cs="Times New Roman"/>
          <w:b/>
          <w:bCs/>
          <w:color w:val="auto"/>
          <w:sz w:val="32"/>
          <w:szCs w:val="32"/>
        </w:rPr>
        <w:t>二是开展农用残膜回收处理。</w:t>
      </w:r>
      <w:r>
        <w:rPr>
          <w:rFonts w:hint="default" w:ascii="Times New Roman" w:hAnsi="Times New Roman" w:eastAsia="仿宋_GB2312" w:cs="Times New Roman"/>
          <w:color w:val="auto"/>
          <w:sz w:val="32"/>
          <w:szCs w:val="32"/>
        </w:rPr>
        <w:t>实施地膜新标准，推广使用加厚地膜、可降解地膜，从源头上保障农田残膜可回收。以</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为单位，组织好残膜回收利用工作，到2025年，残膜回收率达到</w:t>
      </w:r>
      <w:r>
        <w:rPr>
          <w:rFonts w:hint="default" w:ascii="Times New Roman" w:hAnsi="Times New Roman" w:eastAsia="仿宋_GB2312" w:cs="Times New Roman"/>
          <w:color w:val="auto"/>
          <w:sz w:val="32"/>
          <w:szCs w:val="32"/>
          <w:lang w:val="en-US" w:eastAsia="zh-CN"/>
        </w:rPr>
        <w:t>88</w:t>
      </w:r>
      <w:r>
        <w:rPr>
          <w:rFonts w:hint="default" w:ascii="Times New Roman" w:hAnsi="Times New Roman" w:eastAsia="仿宋_GB2312" w:cs="Times New Roman"/>
          <w:color w:val="auto"/>
          <w:sz w:val="32"/>
          <w:szCs w:val="32"/>
        </w:rPr>
        <w:t>%以上，鼓励使用可降解地膜。</w:t>
      </w:r>
      <w:r>
        <w:rPr>
          <w:rFonts w:hint="default" w:ascii="Times New Roman" w:hAnsi="Times New Roman" w:eastAsia="仿宋_GB2312" w:cs="Times New Roman"/>
          <w:b/>
          <w:bCs/>
          <w:color w:val="auto"/>
          <w:sz w:val="32"/>
          <w:szCs w:val="32"/>
        </w:rPr>
        <w:t>三是加强灌溉水资源保护和水环境治理。</w:t>
      </w:r>
      <w:r>
        <w:rPr>
          <w:rFonts w:hint="default" w:ascii="Times New Roman" w:hAnsi="Times New Roman" w:eastAsia="仿宋_GB2312" w:cs="Times New Roman"/>
          <w:color w:val="auto"/>
          <w:sz w:val="32"/>
          <w:szCs w:val="32"/>
        </w:rPr>
        <w:t>排查入河湖污染源，禁止未</w:t>
      </w:r>
      <w:r>
        <w:rPr>
          <w:rFonts w:hint="default" w:ascii="Times New Roman" w:hAnsi="Times New Roman" w:eastAsia="仿宋_GB2312" w:cs="Times New Roman"/>
          <w:color w:val="000000" w:themeColor="text1"/>
          <w:sz w:val="32"/>
          <w:szCs w:val="32"/>
          <w14:textFill>
            <w14:solidFill>
              <w14:schemeClr w14:val="tx1"/>
            </w14:solidFill>
          </w14:textFill>
        </w:rPr>
        <w:t>经处理的工业废水、生活污水、畜禽养殖废弃物直接排放，保障农业灌溉用水安全，同时防止土壤污染。推广水稻节水控灌技术，增加有效灌溉面积。发展喷灌、滴灌等节水灌溉技术，转变用水方式。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专栏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5 </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生态保护工程</w:t>
      </w:r>
    </w:p>
    <w:tbl>
      <w:tblPr>
        <w:tblStyle w:val="9"/>
        <w:tblW w:w="8924" w:type="dxa"/>
        <w:jc w:val="center"/>
        <w:tblLayout w:type="fixed"/>
        <w:tblCellMar>
          <w:top w:w="0" w:type="dxa"/>
          <w:left w:w="108" w:type="dxa"/>
          <w:bottom w:w="0" w:type="dxa"/>
          <w:right w:w="108" w:type="dxa"/>
        </w:tblCellMar>
      </w:tblPr>
      <w:tblGrid>
        <w:gridCol w:w="2009"/>
        <w:gridCol w:w="4620"/>
        <w:gridCol w:w="2295"/>
      </w:tblGrid>
      <w:tr>
        <w:tblPrEx>
          <w:tblCellMar>
            <w:top w:w="0" w:type="dxa"/>
            <w:left w:w="108" w:type="dxa"/>
            <w:bottom w:w="0" w:type="dxa"/>
            <w:right w:w="108" w:type="dxa"/>
          </w:tblCellMar>
        </w:tblPrEx>
        <w:trPr>
          <w:trHeight w:val="560" w:hRule="atLeast"/>
          <w:jc w:val="center"/>
        </w:trPr>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类别</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采取措施</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预期目标</w:t>
            </w:r>
          </w:p>
        </w:tc>
      </w:tr>
      <w:tr>
        <w:tblPrEx>
          <w:tblCellMar>
            <w:top w:w="0" w:type="dxa"/>
            <w:left w:w="108" w:type="dxa"/>
            <w:bottom w:w="0" w:type="dxa"/>
            <w:right w:w="108" w:type="dxa"/>
          </w:tblCellMar>
        </w:tblPrEx>
        <w:trPr>
          <w:trHeight w:val="1841" w:hRule="atLeast"/>
          <w:jc w:val="center"/>
        </w:trPr>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科学施肥用药</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实施测土配方施肥，推广应用分期、分层、侧深等科学适用施肥技术以及高效新型肥料；配备高效节药施药机械，持续补贴更换节药喷头，推进规范化减量施药和绿色防控。</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到2025年，黑土地保护利用示范区测土配方施肥和减量规</w:t>
            </w:r>
            <w:r>
              <w:rPr>
                <w:rFonts w:hint="default" w:ascii="Times New Roman" w:hAnsi="Times New Roman" w:eastAsia="仿宋_GB2312" w:cs="Times New Roman"/>
                <w:color w:val="auto"/>
                <w:sz w:val="32"/>
                <w:szCs w:val="32"/>
              </w:rPr>
              <w:t>范施药作业均实现全覆盖。农药包装废弃物回收率达到90%，废旧农膜回收率达到88%，畜禽粪污综合利用率达到</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w:t>
            </w:r>
          </w:p>
        </w:tc>
      </w:tr>
      <w:tr>
        <w:tblPrEx>
          <w:tblCellMar>
            <w:top w:w="0" w:type="dxa"/>
            <w:left w:w="108" w:type="dxa"/>
            <w:bottom w:w="0" w:type="dxa"/>
            <w:right w:w="108" w:type="dxa"/>
          </w:tblCellMar>
        </w:tblPrEx>
        <w:trPr>
          <w:trHeight w:val="975" w:hRule="atLeast"/>
          <w:jc w:val="center"/>
        </w:trPr>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农业面源污染防治</w:t>
            </w:r>
          </w:p>
        </w:tc>
        <w:tc>
          <w:tcPr>
            <w:tcW w:w="4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开展农药包装废弃物和农用残膜回收处理；强化畜禽粪污资源化利用。</w:t>
            </w: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14:textFill>
            <w14:solidFill>
              <w14:schemeClr w14:val="tx1"/>
            </w14:solidFill>
          </w14:textFill>
        </w:rPr>
        <w:t>加大水土流失治理。</w:t>
      </w:r>
      <w:r>
        <w:rPr>
          <w:rFonts w:hint="default" w:ascii="Times New Roman" w:hAnsi="Times New Roman" w:eastAsia="仿宋_GB2312" w:cs="Times New Roman"/>
          <w:color w:val="000000" w:themeColor="text1"/>
          <w:sz w:val="32"/>
          <w:szCs w:val="32"/>
          <w14:textFill>
            <w14:solidFill>
              <w14:schemeClr w14:val="tx1"/>
            </w14:solidFill>
          </w14:textFill>
        </w:rPr>
        <w:t>采取工程、水土保持耕作和生物措施相结合，防止黑土耕地退化。对漫川漫岗地，采用等高种植、秸秆覆盖条耕、地埂植物带等水土保持措施，耕地中的侵蚀沟采取秸秆填埋复垦、增施有机肥等技术措施，提升耕地保土保水保肥能力。对低山丘陵区坡耕地，在实施环坡打垄的基础上，间隔修筑地埂植物带或植物篱，田面采用秸秆覆盖免耕，耕地中的侵蚀沟采取秸秆填埋复垦，科学配置农田道路、防护林和沟道构建导排水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（三）生物类措施</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0"/>
        <w:jc w:val="left"/>
        <w:textAlignment w:val="auto"/>
        <w:rPr>
          <w:rFonts w:hint="default" w:ascii="Times New Roman" w:hAnsi="Times New Roman" w:eastAsia="黑体" w:cs="Times New Roman"/>
          <w:bCs/>
          <w:color w:val="auto"/>
          <w:kern w:val="0"/>
          <w:sz w:val="32"/>
          <w:szCs w:val="32"/>
          <w:lang w:val="en-US" w:eastAsia="zh-CN"/>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仿宋_GB2312" w:cs="Times New Roman"/>
          <w:color w:val="000000" w:themeColor="text1"/>
          <w:sz w:val="32"/>
          <w:szCs w:val="32"/>
          <w14:textFill>
            <w14:solidFill>
              <w14:schemeClr w14:val="tx1"/>
            </w14:solidFill>
          </w14:textFill>
        </w:rPr>
        <w:t>全面实施测土配方施肥，改进施肥方式方法，做到有机、无机与生物肥相结合，大量与中、微量元素相结合。</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sz w:val="32"/>
          <w:szCs w:val="32"/>
          <w14:textFill>
            <w14:solidFill>
              <w14:schemeClr w14:val="tx1"/>
            </w14:solidFill>
          </w14:textFill>
        </w:rPr>
        <w:t>坚持种养结合、农牧循环发展，通过将畜禽粪便无害化处理或按比例与秸秆混合生产有机肥，逐年增加施用量，逐步扩大有机肥施用面积。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14:textFill>
            <w14:solidFill>
              <w14:schemeClr w14:val="tx1"/>
            </w14:solidFill>
          </w14:textFill>
        </w:rPr>
        <w:t>推广应用分期、分层及侧深、水肥一体化等施肥技术，应用配方肥、缓释肥料、水溶肥料、生物肥料等高效新型肥料，提高化肥利用率。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color w:val="000000" w:themeColor="text1"/>
          <w:sz w:val="32"/>
          <w:szCs w:val="32"/>
          <w14:textFill>
            <w14:solidFill>
              <w14:schemeClr w14:val="tx1"/>
            </w14:solidFill>
          </w14:textFill>
        </w:rPr>
        <w:t>进一步扩大病虫监测点覆盖面，提升科学防控指导能力水平，大力推广生物、物理等绿色防控技术及高效、低毒、低残留环保型农药和环保剂型，更新施药装备，推进喷头和喷头体的更换，开展专业化统防统治，按照防治指标，科学、规范施用农药，减少盲目打药和农药浪费，提高农药利用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微软雅黑" w:cs="Times New Roman"/>
          <w:color w:val="auto"/>
          <w:kern w:val="0"/>
          <w:sz w:val="32"/>
          <w:szCs w:val="32"/>
        </w:rPr>
      </w:pP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b w:val="0"/>
          <w:bCs w:val="0"/>
          <w:color w:val="auto"/>
          <w:kern w:val="0"/>
          <w:sz w:val="32"/>
          <w:szCs w:val="32"/>
        </w:rPr>
        <w:t>　</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黑体" w:cs="Times New Roman"/>
          <w:b w:val="0"/>
          <w:bCs w:val="0"/>
          <w:color w:val="auto"/>
          <w:kern w:val="0"/>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（一）加强组织领导。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发挥</w:t>
      </w:r>
      <w:r>
        <w:rPr>
          <w:rFonts w:hint="default" w:ascii="Times New Roman" w:hAnsi="Times New Roman" w:eastAsia="仿宋_GB2312" w:cs="Times New Roman"/>
          <w:color w:val="auto"/>
          <w:kern w:val="0"/>
          <w:sz w:val="32"/>
          <w:szCs w:val="32"/>
          <w:lang w:val="en-US" w:eastAsia="zh-CN"/>
        </w:rPr>
        <w:t>桦南县黑土地保护工程推进落实领导小组作用，</w:t>
      </w:r>
      <w:r>
        <w:rPr>
          <w:rFonts w:hint="default" w:ascii="Times New Roman" w:hAnsi="Times New Roman" w:eastAsia="仿宋_GB2312" w:cs="Times New Roman"/>
          <w:color w:val="000000" w:themeColor="text1"/>
          <w:sz w:val="32"/>
          <w:szCs w:val="32"/>
          <w14:textFill>
            <w14:solidFill>
              <w14:schemeClr w14:val="tx1"/>
            </w14:solidFill>
          </w14:textFill>
        </w:rPr>
        <w:t>建立全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黑土地保护利用工作联席会议制度，</w:t>
      </w:r>
      <w:r>
        <w:rPr>
          <w:rFonts w:hint="default" w:ascii="Times New Roman" w:hAnsi="Times New Roman" w:eastAsia="仿宋_GB2312" w:cs="Times New Roman"/>
          <w:caps w:val="0"/>
          <w:color w:val="333333"/>
          <w:spacing w:val="0"/>
          <w:sz w:val="36"/>
          <w:szCs w:val="36"/>
          <w:shd w:val="clear" w:color="auto" w:fill="FFFFFF"/>
        </w:rPr>
        <w:t>全面加强黑土地保护组织协调指导</w:t>
      </w:r>
      <w:r>
        <w:rPr>
          <w:rFonts w:hint="default" w:ascii="Times New Roman" w:hAnsi="Times New Roman" w:eastAsia="仿宋_GB2312" w:cs="Times New Roman"/>
          <w:caps w:val="0"/>
          <w:color w:val="333333"/>
          <w:spacing w:val="0"/>
          <w:sz w:val="36"/>
          <w:szCs w:val="36"/>
          <w:shd w:val="clear" w:color="auto" w:fill="FFFFFF"/>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统筹各部门沟通协调，加强推进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黑土地保护</w:t>
      </w:r>
      <w:r>
        <w:rPr>
          <w:rFonts w:hint="default" w:ascii="Times New Roman" w:hAnsi="Times New Roman" w:eastAsia="仿宋_GB2312" w:cs="Times New Roman"/>
          <w:color w:val="000000" w:themeColor="text1"/>
          <w:sz w:val="32"/>
          <w:szCs w:val="32"/>
          <w14:textFill>
            <w14:solidFill>
              <w14:schemeClr w14:val="tx1"/>
            </w14:solidFill>
          </w14:textFill>
        </w:rPr>
        <w:t>规划落实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，全面落实“田长制”工作方案，</w:t>
      </w:r>
      <w:r>
        <w:rPr>
          <w:rFonts w:hint="default" w:ascii="Times New Roman" w:hAnsi="Times New Roman" w:eastAsia="仿宋_GB2312" w:cs="Times New Roman"/>
          <w:color w:val="000000" w:themeColor="text1"/>
          <w:sz w:val="32"/>
          <w:szCs w:val="32"/>
          <w14:textFill>
            <w14:solidFill>
              <w14:schemeClr w14:val="tx1"/>
            </w14:solidFill>
          </w14:textFill>
        </w:rPr>
        <w:t>协调解决重大问题。各成员单位根据规划任务分工，细化工作措施，明确工作进度，确保工作质量，并根据工作职能，切实强化分管任务工作业务指导，形成部门间协同推进的工作合力。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（二）强化责任落实。</w:t>
      </w:r>
      <w:r>
        <w:rPr>
          <w:rFonts w:hint="default" w:ascii="Times New Roman" w:hAnsi="Times New Roman" w:eastAsia="仿宋_GB2312" w:cs="Times New Roman"/>
          <w:color w:val="000000" w:themeColor="text1"/>
          <w:sz w:val="32"/>
          <w:szCs w:val="32"/>
          <w14:textFill>
            <w14:solidFill>
              <w14:schemeClr w14:val="tx1"/>
            </w14:solidFill>
          </w14:textFill>
        </w:rPr>
        <w:t>强化各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实施黑土地保护</w:t>
      </w:r>
      <w:r>
        <w:rPr>
          <w:rFonts w:hint="default" w:ascii="Times New Roman" w:hAnsi="Times New Roman" w:eastAsia="仿宋_GB2312" w:cs="Times New Roman"/>
          <w:color w:val="000000" w:themeColor="text1"/>
          <w:sz w:val="32"/>
          <w:szCs w:val="32"/>
          <w14:textFill>
            <w14:solidFill>
              <w14:schemeClr w14:val="tx1"/>
            </w14:solidFill>
          </w14:textFill>
        </w:rPr>
        <w:t>属地责任，推动主动担当作为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要定期研究推进本区域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黑土地保护</w:t>
      </w:r>
      <w:r>
        <w:rPr>
          <w:rFonts w:hint="default" w:ascii="Times New Roman" w:hAnsi="Times New Roman" w:eastAsia="仿宋_GB2312" w:cs="Times New Roman"/>
          <w:color w:val="000000" w:themeColor="text1"/>
          <w:sz w:val="32"/>
          <w:szCs w:val="32"/>
          <w14:textFill>
            <w14:solidFill>
              <w14:schemeClr w14:val="tx1"/>
            </w14:solidFill>
          </w14:textFill>
        </w:rPr>
        <w:t>工作，切实将落实规划目标同解决当前突出问题结合起来，坚持问题导向，优先补齐短板，形成一级抓一级、层层抓落实的工作格局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乡镇</w:t>
      </w:r>
      <w:r>
        <w:rPr>
          <w:rFonts w:hint="default" w:ascii="Times New Roman" w:hAnsi="Times New Roman" w:eastAsia="仿宋_GB2312" w:cs="Times New Roman"/>
          <w:color w:val="000000" w:themeColor="text1"/>
          <w:sz w:val="32"/>
          <w:szCs w:val="32"/>
          <w14:textFill>
            <w14:solidFill>
              <w14:schemeClr w14:val="tx1"/>
            </w14:solidFill>
          </w14:textFill>
        </w:rPr>
        <w:t>要根据本规划确定的发展目标、重点任务进行细化分解，制定本地黑土地保护规划，聚焦重点区域、重点任务，集中力量建设黑土地保护利用示范区。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（三）加大资金投入。</w:t>
      </w:r>
      <w:r>
        <w:rPr>
          <w:rFonts w:hint="default" w:ascii="Times New Roman" w:hAnsi="Times New Roman" w:eastAsia="仿宋_GB2312" w:cs="Times New Roman"/>
          <w:color w:val="000000" w:themeColor="text1"/>
          <w:sz w:val="32"/>
          <w:szCs w:val="32"/>
          <w14:textFill>
            <w14:solidFill>
              <w14:schemeClr w14:val="tx1"/>
            </w14:solidFill>
          </w14:textFill>
        </w:rPr>
        <w:t>统筹安排各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项</w:t>
      </w:r>
      <w:r>
        <w:rPr>
          <w:rFonts w:hint="default" w:ascii="Times New Roman" w:hAnsi="Times New Roman" w:eastAsia="仿宋_GB2312" w:cs="Times New Roman"/>
          <w:color w:val="000000" w:themeColor="text1"/>
          <w:sz w:val="32"/>
          <w:szCs w:val="32"/>
          <w14:textFill>
            <w14:solidFill>
              <w14:schemeClr w14:val="tx1"/>
            </w14:solidFill>
          </w14:textFill>
        </w:rPr>
        <w:t>涉农资金，用于黑土耕地保护工作。推进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14:textFill>
            <w14:solidFill>
              <w14:schemeClr w14:val="tx1"/>
            </w14:solidFill>
          </w14:textFill>
        </w:rPr>
        <w:t>高标准农田建设、畜禽粪污资源化利用、秸秆还田、深松整地、保护性耕作、农机购置补贴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东北黑土地保护利用等政策项目，整合资金加大投入，实行综合治理，形成政策合力。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jc w:val="left"/>
        <w:rPr>
          <w:rFonts w:hint="default" w:ascii="Times New Roman" w:hAnsi="Times New Roman" w:eastAsia="微软雅黑" w:cs="Times New Roman"/>
          <w:caps w:val="0"/>
          <w:color w:val="333333"/>
          <w:spacing w:val="0"/>
          <w:sz w:val="18"/>
          <w:szCs w:val="18"/>
        </w:rPr>
      </w:pPr>
      <w:r>
        <w:rPr>
          <w:rFonts w:hint="default" w:ascii="Times New Roman" w:hAnsi="Times New Roman" w:eastAsia="楷体_GB2312" w:cs="Times New Roman"/>
          <w:b w:val="0"/>
          <w:bCs w:val="0"/>
          <w:color w:val="000000" w:themeColor="text1"/>
          <w:kern w:val="2"/>
          <w:sz w:val="32"/>
          <w:szCs w:val="32"/>
          <w:lang w:val="en-US" w:eastAsia="zh-CN" w:bidi="ar-SA"/>
          <w14:textFill>
            <w14:solidFill>
              <w14:schemeClr w14:val="tx1"/>
            </w14:solidFill>
          </w14:textFill>
        </w:rPr>
        <w:t>（四）强化依法保护。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认真贯彻落实《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中华人民共和国黑土地保护法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黑龙江省黑土地保护利用条例》等相关法律法规，把黑土地保护与环境污染防治相结合、与保障粮食安全相结合，明确黑土地保护与其他行业的关系，强化执法监督检查，形成联动工作合力，坚决遏制耕地“非农化”、防止“非粮化”，严厉打击盗采泥炭黑土等违法行为，做到依法管土、依法护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（五）</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开展</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宣传</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培训</w:t>
      </w: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要充分利用广播、电视、报纸、互联网、手机等媒体，大力宣传黑土耕地保护的重要性，让基层干部群众了解黑土地保护政策。依托新型职业农民培训，开展农技、农机相关知识培训，提高种植大户、新型农业经营主体的黑土地保护利用水平，努力营造全社会关心支持黑土地保护的良好氛围。</w:t>
      </w:r>
    </w:p>
    <w:p>
      <w:pPr>
        <w:bidi w:val="0"/>
        <w:ind w:firstLine="640" w:firstLineChars="20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eastAsia="zh-CN"/>
          <w14:textFill>
            <w14:solidFill>
              <w14:schemeClr w14:val="tx1"/>
            </w14:solidFill>
          </w14:textFill>
        </w:rPr>
        <w:t>（六）强化考核监督。</w:t>
      </w:r>
      <w:r>
        <w:rPr>
          <w:rFonts w:hint="default" w:ascii="Times New Roman" w:hAnsi="Times New Roman" w:eastAsia="仿宋_GB2312" w:cs="Times New Roman"/>
          <w:color w:val="000000" w:themeColor="text1"/>
          <w:sz w:val="32"/>
          <w:szCs w:val="32"/>
          <w14:textFill>
            <w14:solidFill>
              <w14:schemeClr w14:val="tx1"/>
            </w14:solidFill>
          </w14:textFill>
        </w:rPr>
        <w:t>加强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对黑土地保护</w:t>
      </w:r>
      <w:r>
        <w:rPr>
          <w:rFonts w:hint="default" w:ascii="Times New Roman" w:hAnsi="Times New Roman" w:eastAsia="仿宋_GB2312" w:cs="Times New Roman"/>
          <w:color w:val="000000" w:themeColor="text1"/>
          <w:sz w:val="32"/>
          <w:szCs w:val="32"/>
          <w14:textFill>
            <w14:solidFill>
              <w14:schemeClr w14:val="tx1"/>
            </w14:solidFill>
          </w14:textFill>
        </w:rPr>
        <w:t>规划实施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监督考核，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把黑土地保护</w:t>
      </w:r>
      <w:r>
        <w:rPr>
          <w:rFonts w:hint="default" w:ascii="Times New Roman" w:hAnsi="Times New Roman" w:eastAsia="仿宋_GB2312" w:cs="Times New Roman"/>
          <w:color w:val="000000" w:themeColor="text1"/>
          <w:sz w:val="32"/>
          <w:szCs w:val="32"/>
          <w14:textFill>
            <w14:solidFill>
              <w14:schemeClr w14:val="tx1"/>
            </w14:solidFill>
          </w14:textFill>
        </w:rPr>
        <w:t>工作作为乡村振兴考核的重要内容，将工作任务清单、年度工作计划、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工作台账</w:t>
      </w:r>
      <w:r>
        <w:rPr>
          <w:rFonts w:hint="default" w:ascii="Times New Roman" w:hAnsi="Times New Roman" w:eastAsia="仿宋_GB2312" w:cs="Times New Roman"/>
          <w:color w:val="000000" w:themeColor="text1"/>
          <w:sz w:val="32"/>
          <w:szCs w:val="32"/>
          <w14:textFill>
            <w14:solidFill>
              <w14:schemeClr w14:val="tx1"/>
            </w14:solidFill>
          </w14:textFill>
        </w:rPr>
        <w:t>等工作情况作为考核指标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，对黑土地保护</w:t>
      </w:r>
      <w:r>
        <w:rPr>
          <w:rFonts w:hint="default" w:ascii="Times New Roman" w:hAnsi="Times New Roman" w:eastAsia="仿宋_GB2312" w:cs="Times New Roman"/>
          <w:color w:val="000000" w:themeColor="text1"/>
          <w:sz w:val="32"/>
          <w:szCs w:val="32"/>
          <w14:textFill>
            <w14:solidFill>
              <w14:schemeClr w14:val="tx1"/>
            </w14:solidFill>
          </w14:textFill>
        </w:rPr>
        <w:t>的政策资金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及</w:t>
      </w:r>
      <w:r>
        <w:rPr>
          <w:rFonts w:hint="default" w:ascii="Times New Roman" w:hAnsi="Times New Roman" w:eastAsia="仿宋_GB2312" w:cs="Times New Roman"/>
          <w:color w:val="000000" w:themeColor="text1"/>
          <w:sz w:val="32"/>
          <w:szCs w:val="32"/>
          <w14:textFill>
            <w14:solidFill>
              <w14:schemeClr w14:val="tx1"/>
            </w14:solidFill>
          </w14:textFill>
        </w:rPr>
        <w:t>措施落实情况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进行全面考核。</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b/>
          <w:bCs/>
          <w:color w:val="auto"/>
          <w:kern w:val="0"/>
          <w:sz w:val="32"/>
          <w:szCs w:val="32"/>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40" w:firstLineChars="200"/>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fldChar w:fldCharType="begin"/>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instrText xml:space="preserve"> HYPERLINK "https://zwgk.hlj.gov.cn/zwgk/ueditor/upload/file/20220105/1641389632139045105.docx" \o "附件：\“十四五\”时期全省黑土耕地保护利用示范区建设任务分解表" \t "https://www.hlj.gov.cn/n200/2022/0111/_self" </w:instrTex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fldChar w:fldCharType="separate"/>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附件：“十四五”时期桦南县黑土耕地保护利用示范区建设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1600" w:firstLineChars="500"/>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任务分解表</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fldChar w:fldCharType="end"/>
      </w:r>
    </w:p>
    <w:p>
      <w:pPr>
        <w:pStyle w:val="2"/>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rPr>
          <w:rFonts w:hint="default" w:ascii="Times New Roman" w:hAnsi="Times New Roman" w:cs="Times New Roman"/>
          <w:color w:val="auto"/>
          <w:sz w:val="32"/>
          <w:szCs w:val="32"/>
        </w:rPr>
        <w:sectPr>
          <w:footerReference r:id="rId3" w:type="default"/>
          <w:pgSz w:w="11906" w:h="16838"/>
          <w:pgMar w:top="1440" w:right="1519" w:bottom="1440" w:left="1519" w:header="851" w:footer="992" w:gutter="0"/>
          <w:pgNumType w:fmt="numberInDash"/>
          <w:cols w:space="425" w:num="1"/>
          <w:docGrid w:type="lines" w:linePitch="312" w:charSpace="0"/>
        </w:sectPr>
      </w:pPr>
    </w:p>
    <w:p>
      <w:pPr>
        <w:pStyle w:val="4"/>
        <w:pageBreakBefore w:val="0"/>
        <w:kinsoku/>
        <w:wordWrap/>
        <w:overflowPunct/>
        <w:topLinePunct w:val="0"/>
        <w:autoSpaceDE/>
        <w:autoSpaceDN/>
        <w:bidi w:val="0"/>
        <w:adjustRightInd/>
        <w:snapToGrid/>
        <w:spacing w:before="0" w:beforeLines="0" w:after="0" w:afterLines="0" w:line="600" w:lineRule="exact"/>
        <w:jc w:val="both"/>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附件：</w:t>
      </w:r>
    </w:p>
    <w:p>
      <w:pPr>
        <w:pStyle w:val="4"/>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桦南县“十四五”时期黑土地保护面积</w:t>
      </w:r>
    </w:p>
    <w:p>
      <w:pPr>
        <w:pStyle w:val="4"/>
        <w:pageBreakBefore w:val="0"/>
        <w:kinsoku/>
        <w:wordWrap/>
        <w:overflowPunct/>
        <w:topLinePunct w:val="0"/>
        <w:autoSpaceDE/>
        <w:autoSpaceDN/>
        <w:bidi w:val="0"/>
        <w:adjustRightInd/>
        <w:snapToGrid/>
        <w:spacing w:before="0" w:beforeLines="0" w:after="0" w:afterLines="0" w:line="600" w:lineRule="exact"/>
        <w:jc w:val="center"/>
        <w:textAlignment w:val="auto"/>
        <w:rPr>
          <w:rFonts w:hint="default"/>
          <w:sz w:val="44"/>
          <w:szCs w:val="44"/>
          <w:lang w:val="en-US" w:eastAsia="zh-CN"/>
        </w:rPr>
      </w:pPr>
      <w:r>
        <w:rPr>
          <w:rFonts w:hint="default" w:ascii="Times New Roman" w:hAnsi="Times New Roman" w:eastAsia="方正小标宋简体" w:cs="Times New Roman"/>
          <w:b w:val="0"/>
          <w:bCs/>
          <w:color w:val="auto"/>
          <w:sz w:val="44"/>
          <w:szCs w:val="44"/>
          <w:highlight w:val="none"/>
          <w:lang w:val="en-US" w:eastAsia="zh-CN"/>
        </w:rPr>
        <w:t>任务分解表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8"/>
        <w:gridCol w:w="4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3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乡镇</w:t>
            </w:r>
          </w:p>
        </w:tc>
        <w:tc>
          <w:tcPr>
            <w:tcW w:w="4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eastAsia" w:ascii="Times New Roman" w:hAnsi="Times New Roman" w:eastAsia="黑体" w:cs="Times New Roman"/>
                <w:b w:val="0"/>
                <w:bCs w:val="0"/>
                <w:i w:val="0"/>
                <w:iCs w:val="0"/>
                <w:color w:val="auto"/>
                <w:kern w:val="0"/>
                <w:sz w:val="32"/>
                <w:szCs w:val="32"/>
                <w:u w:val="none"/>
                <w:lang w:val="en-US" w:eastAsia="zh-CN" w:bidi="ar"/>
              </w:rPr>
              <w:t>示范区</w:t>
            </w:r>
            <w:r>
              <w:rPr>
                <w:rFonts w:hint="default" w:ascii="Times New Roman" w:hAnsi="Times New Roman" w:eastAsia="黑体" w:cs="Times New Roman"/>
                <w:b w:val="0"/>
                <w:bCs w:val="0"/>
                <w:i w:val="0"/>
                <w:iCs w:val="0"/>
                <w:color w:val="auto"/>
                <w:kern w:val="0"/>
                <w:sz w:val="32"/>
                <w:szCs w:val="32"/>
                <w:u w:val="none"/>
                <w:lang w:val="en-US" w:eastAsia="zh-CN" w:bidi="ar"/>
              </w:rPr>
              <w:t>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3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 xml:space="preserve">合计 </w:t>
            </w:r>
          </w:p>
        </w:tc>
        <w:tc>
          <w:tcPr>
            <w:tcW w:w="4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1550000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桦南镇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82492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柳毛河镇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112602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孟家岗镇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151814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石头河子镇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77017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土龙山镇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183852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五道岗乡</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110602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闫家镇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153653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驼腰子镇</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70547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明义乡</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140404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大八浪乡</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161240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金沙乡</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106898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梨树乡</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164430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桦南种畜场</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30594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黑体" w:cs="Times New Roman"/>
                <w:b w:val="0"/>
                <w:bCs w:val="0"/>
                <w:i w:val="0"/>
                <w:iCs w:val="0"/>
                <w:color w:val="auto"/>
                <w:sz w:val="32"/>
                <w:szCs w:val="32"/>
                <w:u w:val="none"/>
              </w:rPr>
            </w:pPr>
            <w:r>
              <w:rPr>
                <w:rFonts w:hint="default" w:ascii="Times New Roman" w:hAnsi="Times New Roman" w:eastAsia="黑体" w:cs="Times New Roman"/>
                <w:b w:val="0"/>
                <w:bCs w:val="0"/>
                <w:i w:val="0"/>
                <w:iCs w:val="0"/>
                <w:color w:val="auto"/>
                <w:kern w:val="0"/>
                <w:sz w:val="32"/>
                <w:szCs w:val="32"/>
                <w:u w:val="none"/>
                <w:lang w:val="en-US" w:eastAsia="zh-CN" w:bidi="ar"/>
              </w:rPr>
              <w:t>历家原种场</w:t>
            </w:r>
          </w:p>
        </w:tc>
        <w:tc>
          <w:tcPr>
            <w:tcW w:w="46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b w:val="0"/>
                <w:bCs w:val="0"/>
                <w:i w:val="0"/>
                <w:iCs w:val="0"/>
                <w:color w:val="auto"/>
                <w:sz w:val="32"/>
                <w:szCs w:val="32"/>
                <w:u w:val="none"/>
              </w:rPr>
            </w:pPr>
            <w:r>
              <w:rPr>
                <w:rFonts w:hint="default" w:ascii="Times New Roman" w:hAnsi="Times New Roman" w:eastAsia="宋体" w:cs="Times New Roman"/>
                <w:b w:val="0"/>
                <w:bCs w:val="0"/>
                <w:i w:val="0"/>
                <w:iCs w:val="0"/>
                <w:color w:val="auto"/>
                <w:kern w:val="0"/>
                <w:sz w:val="32"/>
                <w:szCs w:val="32"/>
                <w:u w:val="none"/>
                <w:lang w:val="en-US" w:eastAsia="zh-CN" w:bidi="ar"/>
              </w:rPr>
              <w:t xml:space="preserve">3855 </w:t>
            </w:r>
          </w:p>
        </w:tc>
      </w:tr>
    </w:tbl>
    <w:p>
      <w:pPr>
        <w:rPr>
          <w:rFonts w:hint="default" w:ascii="Times New Roman" w:hAnsi="Times New Roman" w:eastAsia="方正小标宋简体" w:cs="Times New Roman"/>
          <w:b w:val="0"/>
          <w:bCs/>
          <w:color w:val="auto"/>
          <w:sz w:val="36"/>
          <w:szCs w:val="36"/>
          <w:highlight w:val="none"/>
          <w:lang w:val="en-US" w:eastAsia="zh-CN"/>
        </w:rPr>
      </w:pPr>
    </w:p>
    <w:p>
      <w:pPr>
        <w:snapToGrid w:val="0"/>
        <w:spacing w:line="400" w:lineRule="exact"/>
        <w:rPr>
          <w:rFonts w:hint="eastAsia" w:ascii="仿宋_GB2312" w:eastAsia="仿宋_GB2312"/>
          <w:b/>
          <w:sz w:val="28"/>
          <w:szCs w:val="28"/>
        </w:rPr>
      </w:pPr>
      <w:r>
        <w:rPr>
          <w:rFonts w:hint="eastAsia" w:ascii="仿宋_GB2312" w:hAnsi="宋体" w:eastAsia="仿宋_GB2312"/>
          <w:b/>
          <w:color w:val="000000"/>
          <w:sz w:val="28"/>
          <w:szCs w:val="28"/>
        </w:rPr>
        <w:t>━━━━━━</w:t>
      </w:r>
      <w:r>
        <w:rPr>
          <w:rFonts w:hint="eastAsia" w:ascii="仿宋_GB2312" w:eastAsia="仿宋_GB2312"/>
          <w:b/>
          <w:color w:val="000000"/>
          <w:sz w:val="28"/>
          <w:szCs w:val="28"/>
        </w:rPr>
        <w:t>━━━━━━━━━━━</w:t>
      </w:r>
      <w:r>
        <w:rPr>
          <w:rFonts w:hint="eastAsia" w:ascii="仿宋_GB2312" w:hAnsi="宋体" w:eastAsia="仿宋_GB2312"/>
          <w:b/>
          <w:color w:val="000000"/>
          <w:sz w:val="28"/>
          <w:szCs w:val="28"/>
        </w:rPr>
        <w:t>━━━━━━━━━━━━</w:t>
      </w:r>
      <w:r>
        <w:rPr>
          <w:rFonts w:hint="eastAsia" w:ascii="仿宋_GB2312" w:eastAsia="仿宋_GB2312"/>
          <w:b/>
          <w:color w:val="000000"/>
          <w:sz w:val="28"/>
          <w:szCs w:val="28"/>
        </w:rPr>
        <w:t xml:space="preserve">   </w:t>
      </w:r>
    </w:p>
    <w:p>
      <w:pPr>
        <w:spacing w:line="400" w:lineRule="exact"/>
        <w:rPr>
          <w:rFonts w:eastAsia="仿宋_GB2312"/>
        </w:rPr>
      </w:pPr>
      <w:r>
        <w:rPr>
          <w:rFonts w:hint="eastAsia" w:ascii="仿宋_GB2312" w:eastAsia="仿宋_GB2312"/>
          <w:sz w:val="28"/>
          <w:szCs w:val="28"/>
        </w:rPr>
        <w:t xml:space="preserve">  </w:t>
      </w:r>
      <w:r>
        <w:rPr>
          <w:rFonts w:eastAsia="仿宋_GB2312"/>
          <w:sz w:val="28"/>
          <w:szCs w:val="28"/>
        </w:rPr>
        <w:t xml:space="preserve">桦南县人民政府办公室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 xml:space="preserve">日印发   </w:t>
      </w:r>
      <w:r>
        <w:rPr>
          <w:rFonts w:hint="default" w:ascii="Times New Roman" w:hAnsi="Times New Roman" w:eastAsia="仿宋_GB2312" w:cs="Times New Roman"/>
        </w:rPr>
        <w:t xml:space="preserve">  </w:t>
      </w:r>
    </w:p>
    <w:p>
      <w:pPr>
        <w:spacing w:line="400" w:lineRule="exact"/>
        <w:rPr>
          <w:rFonts w:hint="default"/>
          <w:lang w:val="en-US" w:eastAsia="zh-CN"/>
        </w:rPr>
      </w:pPr>
      <w:r>
        <w:rPr>
          <w:rFonts w:hint="eastAsia" w:ascii="仿宋_GB2312" w:hAnsi="宋体" w:eastAsia="仿宋_GB2312"/>
          <w:b/>
          <w:color w:val="000000"/>
          <w:sz w:val="28"/>
          <w:szCs w:val="28"/>
        </w:rPr>
        <w:t>━━━━━━━━━━━━━━━━━━━━━━━━━━━━━</w:t>
      </w:r>
      <w:r>
        <w:rPr>
          <w:rFonts w:hint="eastAsia" w:ascii="仿宋_GB2312" w:eastAsia="仿宋_GB2312"/>
          <w:b/>
          <w:color w:val="000000"/>
          <w:sz w:val="28"/>
          <w:szCs w:val="28"/>
        </w:rPr>
        <w:t xml:space="preserve">   </w:t>
      </w:r>
    </w:p>
    <w:sectPr>
      <w:pgSz w:w="11906" w:h="16838"/>
      <w:pgMar w:top="1440" w:right="1519" w:bottom="1440" w:left="1519"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_GBK">
    <w:altName w:val="微软雅黑"/>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NTAzMTg4ZDAxZGViZDRlOTZkMjE2ZDk0YTliNDMifQ=="/>
  </w:docVars>
  <w:rsids>
    <w:rsidRoot w:val="00167558"/>
    <w:rsid w:val="00167558"/>
    <w:rsid w:val="00E11AA8"/>
    <w:rsid w:val="00F34C14"/>
    <w:rsid w:val="04335E46"/>
    <w:rsid w:val="06121B10"/>
    <w:rsid w:val="092B5CB7"/>
    <w:rsid w:val="0AAA563A"/>
    <w:rsid w:val="0BC65752"/>
    <w:rsid w:val="0D2B61B4"/>
    <w:rsid w:val="0EB845BF"/>
    <w:rsid w:val="12E96D53"/>
    <w:rsid w:val="15A563D8"/>
    <w:rsid w:val="17514A69"/>
    <w:rsid w:val="17AD77C6"/>
    <w:rsid w:val="19B345EE"/>
    <w:rsid w:val="1D9C27B6"/>
    <w:rsid w:val="1DA2624A"/>
    <w:rsid w:val="1FA527CA"/>
    <w:rsid w:val="23AA30FB"/>
    <w:rsid w:val="24547947"/>
    <w:rsid w:val="26F96584"/>
    <w:rsid w:val="2A1E08F5"/>
    <w:rsid w:val="2B69017C"/>
    <w:rsid w:val="314A5633"/>
    <w:rsid w:val="332D5F33"/>
    <w:rsid w:val="33B43640"/>
    <w:rsid w:val="33D052F6"/>
    <w:rsid w:val="33F627C9"/>
    <w:rsid w:val="34A2059D"/>
    <w:rsid w:val="35040F15"/>
    <w:rsid w:val="368B2D63"/>
    <w:rsid w:val="36C36493"/>
    <w:rsid w:val="398B5761"/>
    <w:rsid w:val="39B16B76"/>
    <w:rsid w:val="3C1A101E"/>
    <w:rsid w:val="3C767CE7"/>
    <w:rsid w:val="3CB558BC"/>
    <w:rsid w:val="3D474095"/>
    <w:rsid w:val="3DA52B6A"/>
    <w:rsid w:val="3E4408C1"/>
    <w:rsid w:val="3F7512A5"/>
    <w:rsid w:val="4251506E"/>
    <w:rsid w:val="434D7F2B"/>
    <w:rsid w:val="44BD7980"/>
    <w:rsid w:val="471435A4"/>
    <w:rsid w:val="477E4B57"/>
    <w:rsid w:val="48DE0061"/>
    <w:rsid w:val="4944592C"/>
    <w:rsid w:val="494A0831"/>
    <w:rsid w:val="4CF24CCA"/>
    <w:rsid w:val="4D976E7A"/>
    <w:rsid w:val="4F155DA1"/>
    <w:rsid w:val="506E3F2C"/>
    <w:rsid w:val="50E33C7D"/>
    <w:rsid w:val="513814CB"/>
    <w:rsid w:val="53CF6E94"/>
    <w:rsid w:val="55047A68"/>
    <w:rsid w:val="56CF2CD9"/>
    <w:rsid w:val="5A8E4EDD"/>
    <w:rsid w:val="5AD96DAE"/>
    <w:rsid w:val="5ED251E8"/>
    <w:rsid w:val="621E0073"/>
    <w:rsid w:val="629C38D0"/>
    <w:rsid w:val="6458014C"/>
    <w:rsid w:val="66240220"/>
    <w:rsid w:val="66BA47A9"/>
    <w:rsid w:val="6754130F"/>
    <w:rsid w:val="679627EA"/>
    <w:rsid w:val="67B53825"/>
    <w:rsid w:val="67F3434E"/>
    <w:rsid w:val="68012F0F"/>
    <w:rsid w:val="69FE1FEE"/>
    <w:rsid w:val="6C9F4AA4"/>
    <w:rsid w:val="6E4B4C81"/>
    <w:rsid w:val="73C31078"/>
    <w:rsid w:val="7B226FCC"/>
    <w:rsid w:val="7BA72C0A"/>
    <w:rsid w:val="7D782ED3"/>
    <w:rsid w:val="7E431733"/>
    <w:rsid w:val="7EBE4A94"/>
    <w:rsid w:val="7EFF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
    <w:name w:val="annotation text"/>
    <w:basedOn w:val="1"/>
    <w:qFormat/>
    <w:uiPriority w:val="0"/>
    <w:pPr>
      <w:jc w:val="left"/>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page number"/>
    <w:basedOn w:val="10"/>
    <w:qFormat/>
    <w:uiPriority w:val="0"/>
  </w:style>
  <w:style w:type="paragraph" w:customStyle="1" w:styleId="13">
    <w:name w:val="BodyText"/>
    <w:basedOn w:val="1"/>
    <w:qFormat/>
    <w:uiPriority w:val="0"/>
    <w:pPr>
      <w:spacing w:after="120"/>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9322</Words>
  <Characters>9674</Characters>
  <Lines>40</Lines>
  <Paragraphs>11</Paragraphs>
  <TotalTime>56</TotalTime>
  <ScaleCrop>false</ScaleCrop>
  <LinksUpToDate>false</LinksUpToDate>
  <CharactersWithSpaces>9802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2022-08-02T02:51:00Z</dcterms:created>
  <dc:creator>Administrator</dc:creator>
  <cp:lastModifiedBy>国鹏</cp:lastModifiedBy>
  <cp:lastPrinted>2022-12-29T03:20:00Z</cp:lastPrinted>
  <dcterms:modified xsi:type="dcterms:W3CDTF">2023-01-03T05:57:56Z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B9FE98E0683542E4A1B929A273579DC9</vt:lpwstr>
  </property>
</Properties>
</file>